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bookmarkStart w:id="0" w:name="_GoBack"/>
      <w:bookmarkEnd w:id="0"/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080B8B">
        <w:t xml:space="preserve"> </w:t>
      </w:r>
      <w:r w:rsidR="00080B8B" w:rsidRPr="00080B8B">
        <w:t>Arbeiten mit Stetigförderern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Stetigförderer nicht betreten und nicht auf ihnen mitfahren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 xml:space="preserve">vor der Durchführung von Instandhaltungsarbeiten (z. B. Störungsbeseitigung, Reinigung, Wartung) sind die Antriebe von Stetigförderern grundsätzlich über einen Hauptschalter allpolig vom Netz zu trennen und gegen irrtümliches und unbefugtes Wiedereinschalten </w:t>
            </w:r>
            <w:r>
              <w:rPr>
                <w:sz w:val="20"/>
                <w:szCs w:val="20"/>
              </w:rPr>
              <w:t xml:space="preserve">zu </w:t>
            </w:r>
            <w:r w:rsidRPr="00080B8B">
              <w:rPr>
                <w:sz w:val="20"/>
                <w:szCs w:val="20"/>
              </w:rPr>
              <w:t>sichern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zur Durchführung von Instandhaltungsarbeiten in Gefahrbereichen bei laufendem Stetigförderer muss der Antrieb über eine Steuerung ohne Selbsthaltung mit Einsicht auf die Gefahrstelle erfolgen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bei der Durchführung von Instandhaltungsarbeiten sind sichere Standplätze einzunehmen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die zur Durchführung von Instandhaltungsarbeiten abgenommenen Schutzeinrichtungen nach Beendigung der Arbeiten sofort wieder anbringen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vor der Wiederinbetriebnahme insbesondere ausgedehnter und nicht übersichtlicher Stetigförderer</w:t>
            </w:r>
            <w:r>
              <w:rPr>
                <w:sz w:val="20"/>
                <w:szCs w:val="20"/>
              </w:rPr>
              <w:t>-A</w:t>
            </w:r>
            <w:r w:rsidRPr="00080B8B">
              <w:rPr>
                <w:sz w:val="20"/>
                <w:szCs w:val="20"/>
              </w:rPr>
              <w:t>nlagen sind vorhandene Anlaufwarneinrichtungen zu betätigen, um den Beschäftigten die Inbetriebnahme deutlich zu signalisieren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beim Überqueren von Stetigförderern ausschließlich die hierfür vorgesehenen Überstiege benutzen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vorhandene Schutzeinrichtungen regelmäßig auf ihre Wirksamkeit hin überprüfen (z.</w:t>
            </w:r>
            <w:r>
              <w:rPr>
                <w:sz w:val="20"/>
                <w:szCs w:val="20"/>
              </w:rPr>
              <w:t xml:space="preserve"> </w:t>
            </w:r>
            <w:r w:rsidRPr="00080B8B">
              <w:rPr>
                <w:sz w:val="20"/>
                <w:szCs w:val="20"/>
              </w:rPr>
              <w:t>B. Not-Halt-Befehlseinrichtungen, die als „Pilztaster“ oder als Reißleinenschalter ausgeführt sind)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ortsveränderliche Stetigförderer standsicher und so aufstellen, dass zwischen gefördertem Stückgut und festen Teilen der Umgebung mindestens 500 mm eingehalten sind</w:t>
            </w:r>
          </w:p>
          <w:p w:rsidR="00080B8B" w:rsidRPr="00080B8B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höhenverstellbare, ortsveränderliche Stetigförderer nur in Tiefstellung verfahren</w:t>
            </w:r>
          </w:p>
          <w:p w:rsidR="001007E5" w:rsidRPr="000632F1" w:rsidRDefault="00080B8B" w:rsidP="00080B8B">
            <w:pPr>
              <w:pStyle w:val="Listenebene1"/>
              <w:rPr>
                <w:sz w:val="20"/>
                <w:szCs w:val="20"/>
              </w:rPr>
            </w:pPr>
            <w:r w:rsidRPr="00080B8B">
              <w:rPr>
                <w:sz w:val="20"/>
                <w:szCs w:val="20"/>
              </w:rPr>
              <w:t>sicherheitsrelevante Schäden an Stetigförderern vor dem Weiterbetrieb beheben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0811"/>
    <w:rsid w:val="00022C69"/>
    <w:rsid w:val="00033502"/>
    <w:rsid w:val="000356C0"/>
    <w:rsid w:val="00037B84"/>
    <w:rsid w:val="00047CF0"/>
    <w:rsid w:val="00061A4C"/>
    <w:rsid w:val="000632F1"/>
    <w:rsid w:val="00066847"/>
    <w:rsid w:val="00080B8B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67BA1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47480-5294-4BAE-9498-9CA576AEB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239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4.4 - Unterweisungsnachweis Arbeiten mit Stetigförderern</vt:lpstr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4.4 - Unterweisungsnachweis Arbeiten mit Stetigförderern</dc:title>
  <dc:creator>Berufsgenossenschaft für Handel und Warenlogistik</dc:creator>
  <cp:lastModifiedBy>Richarz, Saskia</cp:lastModifiedBy>
  <cp:revision>5</cp:revision>
  <cp:lastPrinted>2021-12-08T14:52:00Z</cp:lastPrinted>
  <dcterms:created xsi:type="dcterms:W3CDTF">2024-07-02T05:27:00Z</dcterms:created>
  <dcterms:modified xsi:type="dcterms:W3CDTF">2024-07-02T05:29:00Z</dcterms:modified>
</cp:coreProperties>
</file>