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3A0572">
        <w:t xml:space="preserve"> </w:t>
      </w:r>
      <w:r w:rsidR="00A808B8" w:rsidRPr="00A808B8">
        <w:t>Betrieb von handbetätigten Ladebrücken und -bleche</w:t>
      </w:r>
      <w:r w:rsidR="00A808B8"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1007E5" w:rsidRPr="000632F1" w:rsidRDefault="008E6EE2" w:rsidP="00E976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DA52BB" wp14:editId="18A4D802">
                  <wp:extent cx="476250" cy="409575"/>
                  <wp:effectExtent l="19050" t="0" r="0" b="0"/>
                  <wp:docPr id="10" name="Bild 1" descr="Warnzeichen &quot;Warnung vor Hindernissen am Boden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FF72D0" wp14:editId="10E43DE1">
                  <wp:extent cx="495300" cy="428625"/>
                  <wp:effectExtent l="19050" t="0" r="0" b="0"/>
                  <wp:docPr id="11" name="Bild 2" descr="Warnzeichen &quot;Warnung vor Absturz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268994" wp14:editId="2478A605">
                  <wp:extent cx="495300" cy="428625"/>
                  <wp:effectExtent l="19050" t="0" r="0" b="0"/>
                  <wp:docPr id="12" name="Bild 3" descr="Warnzeichen &quot;Warnung vor Quetsch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040ABA2" wp14:editId="4C050A7E">
                  <wp:extent cx="1400175" cy="457200"/>
                  <wp:effectExtent l="19050" t="0" r="9525" b="0"/>
                  <wp:docPr id="4" name="Bild 4" descr="Zeichnung eines Lkws mit dem toten Winkel direkt hinter sich sowie einem grün gekennzeichneten Bereich rechts und links vom Lkw, den man als &quot;Sichtbereich&quot; bezeichnen ka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noProof/>
              </w:rPr>
              <w:drawing>
                <wp:inline distT="0" distB="0" distL="0" distR="0" wp14:anchorId="787056CB" wp14:editId="08BE9BDE">
                  <wp:extent cx="552450" cy="495300"/>
                  <wp:effectExtent l="19050" t="0" r="0" b="0"/>
                  <wp:docPr id="5" name="Bild 5" descr="Fahrzeug-Reifen mit Unterlegkeilen als Schutz vor dem Weg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136E3957" wp14:editId="069A8019">
                  <wp:extent cx="561975" cy="495300"/>
                  <wp:effectExtent l="19050" t="0" r="9525" b="0"/>
                  <wp:docPr id="6" name="Bild 6" descr="Zeichnung einer Person mit einer manuell bedienbaren Ladebrücke in der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nuell bedienbare Ladebrücken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7030E91D" wp14:editId="1F6BF9EB">
                  <wp:extent cx="496800" cy="496800"/>
                  <wp:effectExtent l="0" t="0" r="0" b="0"/>
                  <wp:docPr id="7" name="Bild 7" descr="Zeichnung einer Person mit einer manuell bedienbaren Ladebrücke in der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nuell bedienbare Ladebrücke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00" cy="49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C5F73EE" wp14:editId="44EF36D8">
                  <wp:extent cx="477318" cy="496800"/>
                  <wp:effectExtent l="0" t="0" r="0" b="0"/>
                  <wp:docPr id="8" name="Bild 8" descr="Zeichnung einer Person mit einer manuell bedienbaren Ladebrücke, die er als Übergang zwischen LKW und Rampe ablegen w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nuell bedienbare Ladebrück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8" cy="49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6E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2817DDF4" wp14:editId="36AA992E">
                  <wp:extent cx="548550" cy="496800"/>
                  <wp:effectExtent l="0" t="0" r="4445" b="0"/>
                  <wp:docPr id="9" name="Bild 9" descr="Zeichnung einer Person mit einer manuell bedienbaren Ladebrücke, die er als Übergang zwischen LKW und Rampe ableg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uell bedienbare Ladebrücken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50" cy="49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6ED" w:rsidRPr="00A808B8" w:rsidRDefault="00E976ED" w:rsidP="00A808B8">
            <w:pPr>
              <w:pStyle w:val="Listenebene1"/>
              <w:rPr>
                <w:sz w:val="20"/>
                <w:szCs w:val="20"/>
              </w:rPr>
            </w:pPr>
            <w:r w:rsidRPr="00A808B8">
              <w:rPr>
                <w:sz w:val="20"/>
                <w:szCs w:val="20"/>
              </w:rPr>
              <w:t>ausgehend von der Spurweite des Transportmittel</w:t>
            </w:r>
            <w:r w:rsidR="00A808B8" w:rsidRPr="00A808B8">
              <w:rPr>
                <w:sz w:val="20"/>
                <w:szCs w:val="20"/>
              </w:rPr>
              <w:t>s</w:t>
            </w:r>
            <w:r w:rsidRPr="00A808B8">
              <w:rPr>
                <w:sz w:val="20"/>
                <w:szCs w:val="20"/>
              </w:rPr>
              <w:t xml:space="preserve"> ausreichend breite Ladebrücke auswählen (mindestens 1,25m), auf ausreichende Tragfähigkeit der Ladebrücke achten</w:t>
            </w:r>
            <w:r w:rsidR="00A808B8" w:rsidRPr="00A808B8">
              <w:rPr>
                <w:sz w:val="20"/>
                <w:szCs w:val="20"/>
              </w:rPr>
              <w:t xml:space="preserve">; dabei zu </w:t>
            </w:r>
            <w:r w:rsidRPr="00A808B8">
              <w:rPr>
                <w:sz w:val="20"/>
                <w:szCs w:val="20"/>
              </w:rPr>
              <w:t>beachten: Belastung = Lastgewicht + Gewicht des Transportgerätes + Bedienperson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 w:rsidRPr="00E976ED">
              <w:rPr>
                <w:sz w:val="20"/>
                <w:szCs w:val="20"/>
              </w:rPr>
              <w:t>Ladebrücke muss gegen Verschieben gesichert sein (ggf. sind Sicherungen manuell einzulegen)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 w:rsidRPr="00E976ED">
              <w:rPr>
                <w:sz w:val="20"/>
                <w:szCs w:val="20"/>
              </w:rPr>
              <w:t>Ladebrücke muss ausreichend auf LKW und Rampe aufliegen (mindestens 10 cm)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976ED">
              <w:rPr>
                <w:sz w:val="20"/>
                <w:szCs w:val="20"/>
              </w:rPr>
              <w:t>eim Ablegen von transportablen Ladebrücken parallel zur Rampenkante aufstellen, nicht in Richtung Absturzkante beugen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976ED">
              <w:rPr>
                <w:sz w:val="20"/>
                <w:szCs w:val="20"/>
              </w:rPr>
              <w:t>uf höchstzulässige Neigung achten</w:t>
            </w:r>
            <w:r w:rsidR="00A808B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d</w:t>
            </w:r>
            <w:r w:rsidRPr="00E976ED">
              <w:rPr>
                <w:sz w:val="20"/>
                <w:szCs w:val="20"/>
              </w:rPr>
              <w:t>iese darf maximal 7</w:t>
            </w:r>
            <w:r w:rsidR="0094783E">
              <w:rPr>
                <w:sz w:val="20"/>
                <w:szCs w:val="20"/>
              </w:rPr>
              <w:t>°</w:t>
            </w:r>
            <w:bookmarkStart w:id="0" w:name="_GoBack"/>
            <w:bookmarkEnd w:id="0"/>
            <w:r w:rsidRPr="00E976ED">
              <w:rPr>
                <w:sz w:val="20"/>
                <w:szCs w:val="20"/>
              </w:rPr>
              <w:t xml:space="preserve"> betragen</w:t>
            </w:r>
            <w:r>
              <w:rPr>
                <w:sz w:val="20"/>
                <w:szCs w:val="20"/>
              </w:rPr>
              <w:t>; d</w:t>
            </w:r>
            <w:r w:rsidRPr="00E976ED">
              <w:rPr>
                <w:sz w:val="20"/>
                <w:szCs w:val="20"/>
              </w:rPr>
              <w:t>ie Höhendifferenz zwischen Rampe und LKW Ladefläche sollte nicht mehr als 20 cm betragen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976ED">
              <w:rPr>
                <w:sz w:val="20"/>
                <w:szCs w:val="20"/>
              </w:rPr>
              <w:t>st die Ladebrücke schwerer als 30 kg</w:t>
            </w:r>
            <w:r>
              <w:rPr>
                <w:sz w:val="20"/>
                <w:szCs w:val="20"/>
              </w:rPr>
              <w:t>,</w:t>
            </w:r>
            <w:r w:rsidRPr="00E976ED">
              <w:rPr>
                <w:sz w:val="20"/>
                <w:szCs w:val="20"/>
              </w:rPr>
              <w:t xml:space="preserve"> muss diese von </w:t>
            </w:r>
            <w:r>
              <w:rPr>
                <w:sz w:val="20"/>
                <w:szCs w:val="20"/>
              </w:rPr>
              <w:t>zwei</w:t>
            </w:r>
            <w:r w:rsidRPr="00E976ED">
              <w:rPr>
                <w:sz w:val="20"/>
                <w:szCs w:val="20"/>
              </w:rPr>
              <w:t xml:space="preserve"> Personen getragen werden</w:t>
            </w:r>
            <w:r>
              <w:rPr>
                <w:sz w:val="20"/>
                <w:szCs w:val="20"/>
              </w:rPr>
              <w:t>;</w:t>
            </w:r>
            <w:r w:rsidRPr="00E976ED">
              <w:rPr>
                <w:sz w:val="20"/>
                <w:szCs w:val="20"/>
              </w:rPr>
              <w:t xml:space="preserve"> ist zum Transport von Ladebrücken (große und schwere Ausführung) ein Gabelstapler erforderlich, darf dieser nur von hierzu befugten Personen gefahren werden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 w:rsidRPr="00E976ED">
              <w:rPr>
                <w:sz w:val="20"/>
                <w:szCs w:val="20"/>
              </w:rPr>
              <w:t xml:space="preserve">Ladebrücken möglichst immer vorwärts überqueren, </w:t>
            </w:r>
            <w:r>
              <w:rPr>
                <w:sz w:val="20"/>
                <w:szCs w:val="20"/>
              </w:rPr>
              <w:t xml:space="preserve">dabei </w:t>
            </w:r>
            <w:r w:rsidRPr="00E976ED">
              <w:rPr>
                <w:sz w:val="20"/>
                <w:szCs w:val="20"/>
              </w:rPr>
              <w:t>auf ausreichende Sicht achten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976ED">
              <w:rPr>
                <w:sz w:val="20"/>
                <w:szCs w:val="20"/>
              </w:rPr>
              <w:t>wingend ist vor dem Überfahren mit Mitgängerflurförderzeugen oder Gabelstapler</w:t>
            </w:r>
            <w:r w:rsidR="00A808B8">
              <w:rPr>
                <w:sz w:val="20"/>
                <w:szCs w:val="20"/>
              </w:rPr>
              <w:t>n</w:t>
            </w:r>
            <w:r w:rsidRPr="00E976ED">
              <w:rPr>
                <w:sz w:val="20"/>
                <w:szCs w:val="20"/>
              </w:rPr>
              <w:t xml:space="preserve"> zu prüfen, ob das betreffende Fahrzeug ausreichend gegen Wegrollen gesichert ist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976ED">
              <w:rPr>
                <w:sz w:val="20"/>
                <w:szCs w:val="20"/>
              </w:rPr>
              <w:t>as Auflegen von fest an Rampen angebrachte</w:t>
            </w:r>
            <w:r>
              <w:rPr>
                <w:sz w:val="20"/>
                <w:szCs w:val="20"/>
              </w:rPr>
              <w:t>n</w:t>
            </w:r>
            <w:r w:rsidRPr="00E976ED">
              <w:rPr>
                <w:sz w:val="20"/>
                <w:szCs w:val="20"/>
              </w:rPr>
              <w:t xml:space="preserve"> Ladebrücken hat gemäß den Herstellerbedienungsanleitungen zu erfolgen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976ED">
              <w:rPr>
                <w:sz w:val="20"/>
                <w:szCs w:val="20"/>
              </w:rPr>
              <w:t xml:space="preserve">ach Beendigung der Arbeiten sind die Ladebrücken in Ruhestellung zu bringen und in geeigneter Weise gegen Umfallen oder </w:t>
            </w:r>
            <w:r>
              <w:rPr>
                <w:sz w:val="20"/>
                <w:szCs w:val="20"/>
              </w:rPr>
              <w:t>U</w:t>
            </w:r>
            <w:r w:rsidRPr="00E976ED">
              <w:rPr>
                <w:sz w:val="20"/>
                <w:szCs w:val="20"/>
              </w:rPr>
              <w:t>mstürzen zu sichern</w:t>
            </w:r>
          </w:p>
          <w:p w:rsidR="00E976ED" w:rsidRPr="00E976ED" w:rsidRDefault="00E976ED" w:rsidP="00E976ED">
            <w:pPr>
              <w:pStyle w:val="Listenebene1"/>
              <w:rPr>
                <w:sz w:val="20"/>
                <w:szCs w:val="20"/>
              </w:rPr>
            </w:pPr>
            <w:r w:rsidRPr="00E976ED">
              <w:rPr>
                <w:sz w:val="20"/>
                <w:szCs w:val="20"/>
              </w:rPr>
              <w:t>der Aufenthalt zwischen Rampe und rückwärts heranfahrenden bzw. rangierenden Fahrzeugen ist verboten</w:t>
            </w:r>
            <w:r>
              <w:rPr>
                <w:sz w:val="20"/>
                <w:szCs w:val="20"/>
              </w:rPr>
              <w:t xml:space="preserve">; </w:t>
            </w:r>
            <w:r w:rsidRPr="00E976ED">
              <w:rPr>
                <w:sz w:val="20"/>
                <w:szCs w:val="20"/>
              </w:rPr>
              <w:t xml:space="preserve">müssen Fahrzeuge eingewiesen werden, muss sich der Einweiser </w:t>
            </w:r>
            <w:r w:rsidRPr="00E976ED">
              <w:rPr>
                <w:spacing w:val="-10"/>
                <w:sz w:val="20"/>
                <w:szCs w:val="20"/>
              </w:rPr>
              <w:t>stets</w:t>
            </w:r>
            <w:r w:rsidRPr="00E976ED">
              <w:rPr>
                <w:sz w:val="20"/>
                <w:szCs w:val="20"/>
              </w:rPr>
              <w:t xml:space="preserve"> außerhalb des Gefahrbereichs aufhalten</w:t>
            </w:r>
          </w:p>
          <w:p w:rsidR="001007E5" w:rsidRPr="000632F1" w:rsidRDefault="00E976ED" w:rsidP="00E976ED">
            <w:pPr>
              <w:pStyle w:val="Listenebene1"/>
              <w:rPr>
                <w:sz w:val="20"/>
                <w:szCs w:val="20"/>
              </w:rPr>
            </w:pPr>
            <w:r w:rsidRPr="00E976ED">
              <w:rPr>
                <w:sz w:val="20"/>
                <w:szCs w:val="20"/>
              </w:rPr>
              <w:t>festgestellte Mängel, wie z.</w:t>
            </w:r>
            <w:r>
              <w:rPr>
                <w:sz w:val="20"/>
                <w:szCs w:val="20"/>
              </w:rPr>
              <w:t xml:space="preserve"> </w:t>
            </w:r>
            <w:r w:rsidRPr="00E976ED">
              <w:rPr>
                <w:sz w:val="20"/>
                <w:szCs w:val="20"/>
              </w:rPr>
              <w:t>B. beschädigte Arretierungen sind zu melden an ...</w:t>
            </w:r>
            <w:r>
              <w:rPr>
                <w:sz w:val="20"/>
                <w:szCs w:val="20"/>
              </w:rPr>
              <w:t xml:space="preserve"> </w:t>
            </w:r>
            <w:r w:rsidRPr="00E976ED">
              <w:rPr>
                <w:i/>
                <w:sz w:val="20"/>
                <w:szCs w:val="20"/>
              </w:rPr>
              <w:t>(Name eintragen)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976ED">
              <w:rPr>
                <w:sz w:val="20"/>
                <w:szCs w:val="20"/>
              </w:rPr>
              <w:t>...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17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B8" w:rsidRDefault="00A808B8" w:rsidP="005C4990">
      <w:r>
        <w:separator/>
      </w:r>
    </w:p>
  </w:endnote>
  <w:endnote w:type="continuationSeparator" w:id="0">
    <w:p w:rsidR="00A808B8" w:rsidRDefault="00A808B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B8" w:rsidRPr="002C57E4" w:rsidRDefault="00A808B8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B8" w:rsidRDefault="00A808B8" w:rsidP="005C4990">
      <w:r>
        <w:separator/>
      </w:r>
    </w:p>
  </w:footnote>
  <w:footnote w:type="continuationSeparator" w:id="0">
    <w:p w:rsidR="00A808B8" w:rsidRDefault="00A808B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835D3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0572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06B1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E6EE2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4783E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08B8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976ED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D28394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48B9-546D-43AF-BEA6-842F7D4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17.3 - Unterweisungsnachweis Betrieb von handbetätigten Ladebrücken und -blechen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17.3 - Unterweisungsnachweis Betrieb von handbetätigten Ladebrücken und -blechen</dc:title>
  <dc:creator>Berufsgenossenschaft für Handel und Warenlogistik</dc:creator>
  <cp:lastModifiedBy>Saskia Richarz</cp:lastModifiedBy>
  <cp:revision>7</cp:revision>
  <cp:lastPrinted>2021-12-08T14:52:00Z</cp:lastPrinted>
  <dcterms:created xsi:type="dcterms:W3CDTF">2024-07-01T13:11:00Z</dcterms:created>
  <dcterms:modified xsi:type="dcterms:W3CDTF">2025-01-10T08:06:00Z</dcterms:modified>
</cp:coreProperties>
</file>