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4F18D484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69692F7C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034F99B8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1FC8CA03" w14:textId="55D1ECA0" w:rsidR="00BF3102" w:rsidRPr="00BF3102" w:rsidRDefault="008F4980" w:rsidP="00BF3102">
            <w:pPr>
              <w:pStyle w:val="Titel"/>
            </w:pPr>
            <w:r>
              <w:t>Stehleiter</w:t>
            </w:r>
            <w:r w:rsidR="00666115">
              <w:t>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74FAA856" w14:textId="2DF7E2C0" w:rsidR="00FB079F" w:rsidRDefault="00FB079F" w:rsidP="00F11D9D">
            <w:pPr>
              <w:jc w:val="right"/>
            </w:pPr>
            <w:r>
              <w:t>Stand: TT.MM.</w:t>
            </w:r>
            <w:r w:rsidR="00BC0E99">
              <w:t>JJJJ</w:t>
            </w:r>
          </w:p>
        </w:tc>
      </w:tr>
      <w:tr w:rsidR="00FB079F" w14:paraId="28B2460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69DADBD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A1EE0B5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D9F70AC" w14:textId="77777777" w:rsidR="00FB079F" w:rsidRDefault="00FB079F" w:rsidP="00F11D9D">
            <w:pPr>
              <w:pStyle w:val="berschrift1"/>
            </w:pPr>
          </w:p>
        </w:tc>
      </w:tr>
      <w:tr w:rsidR="008168DD" w14:paraId="080605FC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5A36838A" w14:textId="0EAF0CA5" w:rsidR="008168DD" w:rsidRPr="0057075B" w:rsidRDefault="008168DD" w:rsidP="00F11D9D">
            <w:r w:rsidRPr="0057075B">
              <w:t>Betrieb</w:t>
            </w:r>
            <w:r w:rsidR="00666115">
              <w:t>:</w:t>
            </w:r>
          </w:p>
          <w:p w14:paraId="78613A05" w14:textId="6C84CB5D" w:rsidR="008168DD" w:rsidRPr="0057075B" w:rsidRDefault="008168DD" w:rsidP="00F11D9D">
            <w:r w:rsidRPr="0057075B">
              <w:t>Arbeitsbereich, Arbeitsplatz</w:t>
            </w:r>
            <w:r w:rsidR="00666115">
              <w:t>:</w:t>
            </w:r>
          </w:p>
          <w:p w14:paraId="44FBB971" w14:textId="7BB0EF4E" w:rsidR="008168DD" w:rsidRPr="00F11D9D" w:rsidRDefault="008168DD" w:rsidP="00F11D9D">
            <w:r w:rsidRPr="00F11D9D">
              <w:t>Tätigkeit</w:t>
            </w:r>
            <w:r w:rsidR="00666115">
              <w:t xml:space="preserve">: </w:t>
            </w:r>
            <w:r w:rsidR="00616A78">
              <w:t>Verwenden von</w:t>
            </w:r>
            <w:r w:rsidR="00666115">
              <w:t xml:space="preserve"> Stehleitern</w:t>
            </w:r>
          </w:p>
        </w:tc>
      </w:tr>
      <w:tr w:rsidR="00FB079F" w14:paraId="70BA2DB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A205788" w14:textId="77777777" w:rsidR="00FB079F" w:rsidRPr="00A97AC4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5CAE514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3C326F5" w14:textId="77777777" w:rsidR="00FB079F" w:rsidRDefault="00FB079F" w:rsidP="00F11D9D">
            <w:pPr>
              <w:pStyle w:val="berschrift1"/>
            </w:pPr>
          </w:p>
        </w:tc>
      </w:tr>
      <w:tr w:rsidR="008168DD" w14:paraId="2965F4A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1CFBBBC" w14:textId="77777777" w:rsidR="008168DD" w:rsidRPr="00A97AC4" w:rsidRDefault="007B6F03" w:rsidP="00666115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A97AC4">
              <w:rPr>
                <w:noProof/>
                <w:color w:val="000000" w:themeColor="text1"/>
              </w:rPr>
              <w:drawing>
                <wp:inline distT="0" distB="0" distL="0" distR="0" wp14:anchorId="36F52D8F" wp14:editId="76E185BC">
                  <wp:extent cx="612000" cy="536112"/>
                  <wp:effectExtent l="0" t="0" r="0" b="0"/>
                  <wp:docPr id="4" name="Grafik 4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0996C4" w14:textId="5BA3D560" w:rsidR="007B6F03" w:rsidRPr="00A97AC4" w:rsidRDefault="007B6F03" w:rsidP="00666115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A97AC4">
              <w:rPr>
                <w:noProof/>
                <w:color w:val="000000" w:themeColor="text1"/>
              </w:rPr>
              <w:drawing>
                <wp:inline distT="0" distB="0" distL="0" distR="0" wp14:anchorId="373DA0F0" wp14:editId="5253E197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A1357FF" w14:textId="6323B85D" w:rsidR="000C725A" w:rsidRDefault="000C725A" w:rsidP="00C73D98">
            <w:pPr>
              <w:pStyle w:val="Listenebene1"/>
            </w:pPr>
            <w:r>
              <w:t>Verletzungsgefahr durch:</w:t>
            </w:r>
          </w:p>
          <w:p w14:paraId="38747839" w14:textId="0E50BA9A" w:rsidR="008F4980" w:rsidRPr="00CB3A59" w:rsidRDefault="008F4980" w:rsidP="000C725A">
            <w:pPr>
              <w:pStyle w:val="Listenebene2"/>
            </w:pPr>
            <w:r w:rsidRPr="00CB3A59">
              <w:t>Abstürzen von der Leiter</w:t>
            </w:r>
          </w:p>
          <w:p w14:paraId="6734E5EA" w14:textId="77777777" w:rsidR="008F4980" w:rsidRPr="00CB3A59" w:rsidRDefault="008F4980" w:rsidP="000C725A">
            <w:pPr>
              <w:pStyle w:val="Listenebene2"/>
            </w:pPr>
            <w:r w:rsidRPr="00CB3A59">
              <w:t>Umstürzen mit der Leiter</w:t>
            </w:r>
          </w:p>
          <w:p w14:paraId="73653F96" w14:textId="7C43E42B" w:rsidR="008F4980" w:rsidRPr="00CB3A59" w:rsidRDefault="008F4980" w:rsidP="000C725A">
            <w:pPr>
              <w:pStyle w:val="Listenebene2"/>
            </w:pPr>
            <w:r w:rsidRPr="00CB3A59">
              <w:t xml:space="preserve">Abrutschen </w:t>
            </w:r>
            <w:r w:rsidR="00846626">
              <w:t xml:space="preserve">von </w:t>
            </w:r>
            <w:r w:rsidRPr="00CB3A59">
              <w:t>der Leiter</w:t>
            </w:r>
          </w:p>
          <w:p w14:paraId="0E4547D2" w14:textId="77777777" w:rsidR="008F4980" w:rsidRPr="00CB3A59" w:rsidRDefault="008F4980" w:rsidP="000C725A">
            <w:pPr>
              <w:pStyle w:val="Listenebene2"/>
            </w:pPr>
            <w:r w:rsidRPr="00CB3A59">
              <w:t>Abspringen von der Leiter</w:t>
            </w:r>
          </w:p>
          <w:p w14:paraId="5D0BF24E" w14:textId="77777777" w:rsidR="00A97AC4" w:rsidRDefault="008F4980" w:rsidP="000C725A">
            <w:pPr>
              <w:pStyle w:val="Listenebene2"/>
            </w:pPr>
            <w:r w:rsidRPr="00CB3A59">
              <w:t>Herabfallen von Gegenständen bei Arbeiten auf der Leiter</w:t>
            </w:r>
          </w:p>
          <w:p w14:paraId="66E990D4" w14:textId="6466F683" w:rsidR="008168DD" w:rsidRDefault="00A97AC4" w:rsidP="000C725A">
            <w:pPr>
              <w:pStyle w:val="Listenebene2"/>
            </w:pPr>
            <w:r>
              <w:t>Verkanten oder Hängenbleiben der Leiter, z. B. beim Transport der Leiter auf Fahrtreppen</w:t>
            </w:r>
          </w:p>
        </w:tc>
      </w:tr>
      <w:tr w:rsidR="00FB079F" w14:paraId="3EE733E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7666F46" w14:textId="77777777" w:rsidR="00FB079F" w:rsidRPr="00F27356" w:rsidRDefault="00FB079F" w:rsidP="00F27356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FC79F68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83B1D7D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1ED9F6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E7B7E37" w14:textId="1348602F" w:rsidR="008168DD" w:rsidRPr="00A97AC4" w:rsidRDefault="008168DD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17BDC3B" w14:textId="13A83F90" w:rsidR="008F4980" w:rsidRPr="00CB3A59" w:rsidRDefault="008F4980" w:rsidP="00C73D98">
            <w:pPr>
              <w:pStyle w:val="Listenebene1"/>
            </w:pPr>
            <w:r w:rsidRPr="00CB3A59">
              <w:t>Stufenstehleiter, Sprossenstehleiter mit Einhängepodest oder Aufsetzstufen für das Arbeiten verwenden</w:t>
            </w:r>
          </w:p>
          <w:p w14:paraId="07BC709E" w14:textId="5AB2D71F" w:rsidR="008F4980" w:rsidRDefault="008F4980" w:rsidP="00C73D98">
            <w:pPr>
              <w:pStyle w:val="Listenebene1"/>
            </w:pPr>
            <w:r w:rsidRPr="00CB3A59">
              <w:t>Hocker, Stühle, Regale, Getränkekisten u. Ä. nicht als Aufstiege verwende</w:t>
            </w:r>
            <w:r w:rsidR="00627789">
              <w:t>n</w:t>
            </w:r>
          </w:p>
          <w:p w14:paraId="6339252E" w14:textId="564EAA15" w:rsidR="008F4980" w:rsidRPr="00CB3A59" w:rsidRDefault="00627789" w:rsidP="00C73D98">
            <w:pPr>
              <w:pStyle w:val="Listenebene1"/>
            </w:pPr>
            <w:r>
              <w:t>b</w:t>
            </w:r>
            <w:r w:rsidR="008F4980" w:rsidRPr="00CB3A59">
              <w:t>ei Arbeiten geringen Umfangs Leitern verwenden</w:t>
            </w:r>
            <w:r>
              <w:t xml:space="preserve">, </w:t>
            </w:r>
            <w:r w:rsidR="00040567">
              <w:t>b</w:t>
            </w:r>
            <w:r w:rsidR="008F4980" w:rsidRPr="00CB3A59">
              <w:t xml:space="preserve">ei Arbeiten größeren Umfangs Gerüste oder Arbeitsbühnen bzw. </w:t>
            </w:r>
            <w:r>
              <w:t>Arbeits</w:t>
            </w:r>
            <w:r w:rsidR="008F4980" w:rsidRPr="00CB3A59">
              <w:t>körbe einsetzen</w:t>
            </w:r>
          </w:p>
          <w:p w14:paraId="22543B81" w14:textId="425F5EE2" w:rsidR="008F4980" w:rsidRPr="00CB3A59" w:rsidRDefault="008F4980" w:rsidP="00C73D98">
            <w:pPr>
              <w:pStyle w:val="Listenebene1"/>
            </w:pPr>
            <w:r w:rsidRPr="00CB3A59">
              <w:t>Stehleitern nicht als Anlegeleitern benutzen</w:t>
            </w:r>
            <w:r w:rsidR="00040567">
              <w:t xml:space="preserve">, denn </w:t>
            </w:r>
            <w:r w:rsidRPr="00CB3A59">
              <w:t>sie können wegrutschen</w:t>
            </w:r>
          </w:p>
          <w:p w14:paraId="147B814F" w14:textId="6F34EA2F" w:rsidR="008F4980" w:rsidRPr="00CB3A59" w:rsidRDefault="008F4980" w:rsidP="00C73D98">
            <w:pPr>
              <w:pStyle w:val="Listenebene1"/>
            </w:pPr>
            <w:r w:rsidRPr="00CB3A59">
              <w:t>Leitern vor der Benutzung auf erkennbare Mängel prüfen</w:t>
            </w:r>
            <w:r w:rsidR="00627789">
              <w:t>, nur unbeschädigte Leitern verwenden</w:t>
            </w:r>
          </w:p>
          <w:p w14:paraId="611C6513" w14:textId="093A1AA0" w:rsidR="008F4980" w:rsidRPr="00CB3A59" w:rsidRDefault="008F4980" w:rsidP="00C73D98">
            <w:pPr>
              <w:pStyle w:val="Listenebene1"/>
            </w:pPr>
            <w:r w:rsidRPr="00CB3A59">
              <w:t>Leitern auf oder neben Verkehrswegen sichern</w:t>
            </w:r>
            <w:r w:rsidR="00627789">
              <w:t xml:space="preserve">, </w:t>
            </w:r>
            <w:r w:rsidRPr="00CB3A59">
              <w:t>z. B. durch eine zweite Person</w:t>
            </w:r>
          </w:p>
          <w:p w14:paraId="195E7EA5" w14:textId="05895CC1" w:rsidR="008F4980" w:rsidRPr="00CB3A59" w:rsidRDefault="008F4980" w:rsidP="00C73D98">
            <w:pPr>
              <w:pStyle w:val="Listenebene1"/>
            </w:pPr>
            <w:r w:rsidRPr="00CB3A59">
              <w:t>Leitern nicht hinter geschlossenen Türen oder Toren aufstellen</w:t>
            </w:r>
          </w:p>
          <w:p w14:paraId="592D3344" w14:textId="01B8035A" w:rsidR="008F4980" w:rsidRPr="00AB7E77" w:rsidRDefault="008F4980" w:rsidP="00C73D98">
            <w:pPr>
              <w:pStyle w:val="Listenebene1"/>
              <w:rPr>
                <w:snapToGrid w:val="0"/>
              </w:rPr>
            </w:pPr>
            <w:r w:rsidRPr="00CB3A59">
              <w:t>Leitern nur auf festem und ebenem Untergrund aufstellen</w:t>
            </w:r>
            <w:r>
              <w:t xml:space="preserve"> </w:t>
            </w:r>
            <w:r w:rsidRPr="00AB7E77">
              <w:rPr>
                <w:snapToGrid w:val="0"/>
              </w:rPr>
              <w:t>– nicht auf Kisten, Steinen, Steinstapeln, Tischen oder unbefestigtem Untergrund</w:t>
            </w:r>
          </w:p>
          <w:p w14:paraId="3614A1CD" w14:textId="0BA33063" w:rsidR="008F4980" w:rsidRPr="00CB3A59" w:rsidRDefault="00040567" w:rsidP="00C73D98">
            <w:pPr>
              <w:pStyle w:val="Listenebene1"/>
            </w:pPr>
            <w:r w:rsidRPr="00CB3A59">
              <w:t xml:space="preserve">vor dem Besteigen </w:t>
            </w:r>
            <w:r w:rsidR="008F4980" w:rsidRPr="00CB3A59">
              <w:t>Spreizsicherung spannen</w:t>
            </w:r>
          </w:p>
          <w:p w14:paraId="5090171B" w14:textId="05591ACE" w:rsidR="008F4980" w:rsidRPr="00CB3A59" w:rsidRDefault="008F4980" w:rsidP="00C73D98">
            <w:pPr>
              <w:pStyle w:val="Listenebene1"/>
            </w:pPr>
            <w:r w:rsidRPr="00CB3A59">
              <w:t>nur mit fest am Fuß sitzenden Schuhen mit flachen Absätzen</w:t>
            </w:r>
            <w:r w:rsidR="00531706">
              <w:t xml:space="preserve"> auf- und absteigen</w:t>
            </w:r>
          </w:p>
          <w:p w14:paraId="42D33449" w14:textId="7608F9FB" w:rsidR="008F4980" w:rsidRPr="00CB3A59" w:rsidRDefault="008F4980" w:rsidP="00C73D98">
            <w:pPr>
              <w:pStyle w:val="Listenebene1"/>
            </w:pPr>
            <w:r>
              <w:t xml:space="preserve">nur mit dem Gesicht zur Leiter </w:t>
            </w:r>
            <w:r w:rsidR="00531706">
              <w:t>a</w:t>
            </w:r>
            <w:r w:rsidR="00531706" w:rsidRPr="00CB3A59">
              <w:t xml:space="preserve">uf- und </w:t>
            </w:r>
            <w:r w:rsidR="00531706">
              <w:t>a</w:t>
            </w:r>
            <w:r w:rsidR="00531706" w:rsidRPr="00CB3A59">
              <w:t>bsteigen</w:t>
            </w:r>
            <w:r w:rsidR="00531706">
              <w:t>, sich</w:t>
            </w:r>
            <w:r>
              <w:rPr>
                <w:snapToGrid w:val="0"/>
              </w:rPr>
              <w:t xml:space="preserve"> </w:t>
            </w:r>
            <w:r w:rsidRPr="00CB3A59">
              <w:t>dabei mit mindestens einer Hand festhalten</w:t>
            </w:r>
          </w:p>
          <w:p w14:paraId="3B89A751" w14:textId="01A75007" w:rsidR="008F4980" w:rsidRPr="00CB3A59" w:rsidRDefault="008F4980" w:rsidP="00C73D98">
            <w:pPr>
              <w:pStyle w:val="Listenebene1"/>
            </w:pPr>
            <w:r w:rsidRPr="00CB3A59">
              <w:t>nur mit Lasten</w:t>
            </w:r>
            <w:r w:rsidR="00531706">
              <w:t xml:space="preserve"> a</w:t>
            </w:r>
            <w:r w:rsidR="00531706" w:rsidRPr="00CB3A59">
              <w:t xml:space="preserve">uf- und </w:t>
            </w:r>
            <w:r w:rsidR="00531706">
              <w:t>a</w:t>
            </w:r>
            <w:r w:rsidR="00531706" w:rsidRPr="00CB3A59">
              <w:t>bsteigen</w:t>
            </w:r>
            <w:r w:rsidRPr="00CB3A59">
              <w:t>, die nicht mehr als 10 kg wiegen</w:t>
            </w:r>
          </w:p>
          <w:p w14:paraId="7CA0F512" w14:textId="45E6A26F" w:rsidR="00040567" w:rsidRDefault="00040567" w:rsidP="00C73D98">
            <w:pPr>
              <w:pStyle w:val="Listenebene1"/>
            </w:pPr>
            <w:r>
              <w:rPr>
                <w:snapToGrid w:val="0"/>
              </w:rPr>
              <w:t xml:space="preserve">aufgrund der </w:t>
            </w:r>
            <w:r w:rsidRPr="00AB7E77">
              <w:rPr>
                <w:snapToGrid w:val="0"/>
              </w:rPr>
              <w:t xml:space="preserve">Kippgefahr nicht seitlich </w:t>
            </w:r>
            <w:r>
              <w:rPr>
                <w:snapToGrid w:val="0"/>
              </w:rPr>
              <w:t xml:space="preserve">auf Leiter </w:t>
            </w:r>
            <w:r w:rsidRPr="00AB7E77">
              <w:rPr>
                <w:snapToGrid w:val="0"/>
              </w:rPr>
              <w:t>hinauslehnen, sondern herabsteigen und die Leiter umstellen</w:t>
            </w:r>
          </w:p>
          <w:p w14:paraId="1F717D63" w14:textId="4ED35E2B" w:rsidR="008F4980" w:rsidRPr="00CB3A59" w:rsidRDefault="00436A30" w:rsidP="00C73D98">
            <w:pPr>
              <w:pStyle w:val="Listenebene1"/>
            </w:pPr>
            <w:r>
              <w:t xml:space="preserve">von Leiter </w:t>
            </w:r>
            <w:r w:rsidR="008F4980" w:rsidRPr="00CB3A59">
              <w:t>nicht übersteigen, z. B. in Regale</w:t>
            </w:r>
            <w:r w:rsidR="00531706">
              <w:t xml:space="preserve"> oder</w:t>
            </w:r>
            <w:r w:rsidR="008F4980" w:rsidRPr="00CB3A59">
              <w:t xml:space="preserve"> höherliegende Flächen</w:t>
            </w:r>
          </w:p>
          <w:p w14:paraId="33E0F0EE" w14:textId="64552859" w:rsidR="00531706" w:rsidRPr="00A97AC4" w:rsidRDefault="00531706" w:rsidP="00C73D98">
            <w:pPr>
              <w:pStyle w:val="Listenebene1"/>
              <w:rPr>
                <w:snapToGrid w:val="0"/>
              </w:rPr>
            </w:pPr>
            <w:r w:rsidRPr="00A97AC4">
              <w:rPr>
                <w:snapToGrid w:val="0"/>
              </w:rPr>
              <w:t>bei Arbeiten auf Leitern das Herabfallen von Gegenständen verhindern, z. B. durch die Nutzung geeigneter Werkzeugtaschen, Ablageeinrichtungen an der Leiter u. Ä.</w:t>
            </w:r>
            <w:r w:rsidR="00040567">
              <w:rPr>
                <w:snapToGrid w:val="0"/>
              </w:rPr>
              <w:t xml:space="preserve"> oder</w:t>
            </w:r>
            <w:r w:rsidRPr="00A97AC4">
              <w:rPr>
                <w:snapToGrid w:val="0"/>
              </w:rPr>
              <w:t xml:space="preserve"> den Gefahrenbereich unter der Leiter absperren</w:t>
            </w:r>
          </w:p>
          <w:p w14:paraId="4B53971F" w14:textId="71398A9E" w:rsidR="008F4980" w:rsidRPr="00A97AC4" w:rsidRDefault="00531706" w:rsidP="00C73D98">
            <w:pPr>
              <w:pStyle w:val="Listenebene1"/>
            </w:pPr>
            <w:r w:rsidRPr="00A97AC4">
              <w:t>nicht v</w:t>
            </w:r>
            <w:r w:rsidR="008F4980" w:rsidRPr="00A97AC4">
              <w:t>on Leitern abspringen</w:t>
            </w:r>
          </w:p>
          <w:p w14:paraId="60D95EF8" w14:textId="69820E6D" w:rsidR="008F4980" w:rsidRPr="00CB3A59" w:rsidRDefault="008F4980" w:rsidP="00C73D98">
            <w:pPr>
              <w:pStyle w:val="Listenebene1"/>
            </w:pPr>
            <w:r w:rsidRPr="00CB3A59">
              <w:t>Leiter</w:t>
            </w:r>
            <w:r w:rsidR="00040567">
              <w:t>n</w:t>
            </w:r>
            <w:r w:rsidRPr="00CB3A59">
              <w:t xml:space="preserve"> nur zusammengeklappt, senkrecht längs des Körpers transportieren</w:t>
            </w:r>
          </w:p>
          <w:p w14:paraId="42A5E922" w14:textId="2E5B77B3" w:rsidR="008168DD" w:rsidRDefault="008F4980" w:rsidP="00C73D98">
            <w:pPr>
              <w:pStyle w:val="Listenebene1"/>
            </w:pPr>
            <w:r w:rsidRPr="00CB3A59">
              <w:t>Leitern nicht auf Fahrtreppen oder Fahrsteigen transportieren</w:t>
            </w:r>
          </w:p>
        </w:tc>
      </w:tr>
      <w:tr w:rsidR="00F12127" w14:paraId="2ADDFF4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40A363F" w14:textId="77777777" w:rsidR="00FB079F" w:rsidRPr="00002C56" w:rsidRDefault="00FB079F" w:rsidP="00002C56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6CFEF52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21CEDDE" w14:textId="77777777" w:rsidR="00FB079F" w:rsidRDefault="00FB079F" w:rsidP="00F11D9D">
            <w:pPr>
              <w:pStyle w:val="berschrift1"/>
            </w:pPr>
          </w:p>
        </w:tc>
      </w:tr>
      <w:tr w:rsidR="009D7F7C" w14:paraId="1F7FED9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AB74A26" w14:textId="6362B7A3" w:rsidR="009D7F7C" w:rsidRPr="00A97AC4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5DC15F7" w14:textId="77777777" w:rsidR="00616A78" w:rsidRPr="00616A78" w:rsidRDefault="00616A78" w:rsidP="00C73D98">
            <w:pPr>
              <w:pStyle w:val="Listenebene1"/>
            </w:pPr>
            <w:r>
              <w:rPr>
                <w:snapToGrid w:val="0"/>
              </w:rPr>
              <w:t>s</w:t>
            </w:r>
            <w:r w:rsidRPr="00FC6454">
              <w:rPr>
                <w:snapToGrid w:val="0"/>
              </w:rPr>
              <w:t xml:space="preserve">chadhafte Leitern nicht </w:t>
            </w:r>
            <w:r>
              <w:rPr>
                <w:snapToGrid w:val="0"/>
              </w:rPr>
              <w:t xml:space="preserve">mehr </w:t>
            </w:r>
            <w:r w:rsidRPr="00FC6454">
              <w:rPr>
                <w:snapToGrid w:val="0"/>
              </w:rPr>
              <w:t>benutzen</w:t>
            </w:r>
          </w:p>
          <w:p w14:paraId="34A455E4" w14:textId="70510353" w:rsidR="008F4980" w:rsidRDefault="007142AD" w:rsidP="00616A78">
            <w:pPr>
              <w:pStyle w:val="Listenebene1"/>
            </w:pPr>
            <w:r>
              <w:t>Führungskraft (Name) informieren (Tel</w:t>
            </w:r>
            <w:r w:rsidR="00666115">
              <w:t>efonnummer</w:t>
            </w:r>
            <w:r>
              <w:t>)</w:t>
            </w:r>
          </w:p>
        </w:tc>
      </w:tr>
      <w:tr w:rsidR="009D7F7C" w14:paraId="1E9FC96B" w14:textId="77777777" w:rsidTr="00E42C1F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9CB5517" w14:textId="77777777" w:rsidR="009D7F7C" w:rsidRPr="00A97AC4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588BF78B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0CA48570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830F9D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2FEDC65" w14:textId="77777777" w:rsidR="009D7F7C" w:rsidRPr="00A97AC4" w:rsidRDefault="008D58F7" w:rsidP="00262125">
            <w:pPr>
              <w:spacing w:before="40" w:after="40"/>
              <w:jc w:val="center"/>
              <w:rPr>
                <w:color w:val="000000" w:themeColor="text1"/>
              </w:rPr>
            </w:pPr>
            <w:r w:rsidRPr="00A97AC4">
              <w:rPr>
                <w:noProof/>
                <w:color w:val="000000" w:themeColor="text1"/>
              </w:rPr>
              <w:drawing>
                <wp:inline distT="0" distB="0" distL="0" distR="0" wp14:anchorId="2C9126B5" wp14:editId="5786B8FB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6C82444" w14:textId="77777777" w:rsidR="0068393A" w:rsidRDefault="0068393A" w:rsidP="00C73D98">
            <w:pPr>
              <w:pStyle w:val="Listenebene1"/>
            </w:pPr>
            <w:r>
              <w:t>Erste Hilfe leisten:</w:t>
            </w:r>
          </w:p>
          <w:p w14:paraId="17240897" w14:textId="100FCBF5" w:rsidR="0068393A" w:rsidRDefault="0068393A" w:rsidP="0068393A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>Erste</w:t>
            </w:r>
            <w:r w:rsidR="00666115">
              <w:t>-</w:t>
            </w:r>
            <w:r>
              <w:t>Hilfe-Einrichtungen:</w:t>
            </w:r>
            <w:r w:rsidR="00666115">
              <w:t xml:space="preserve"> </w:t>
            </w:r>
            <w:r w:rsidR="008B4B51">
              <w:t>(Was ist wo?)</w:t>
            </w:r>
          </w:p>
          <w:p w14:paraId="5C6A520F" w14:textId="3DA1B4BA" w:rsidR="0068393A" w:rsidRDefault="0068393A" w:rsidP="0068393A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>Ersthelferinnen und Ersthelfer:</w:t>
            </w:r>
            <w:r w:rsidR="00666115">
              <w:t xml:space="preserve"> (Namen, Telefonnummern)</w:t>
            </w:r>
          </w:p>
          <w:p w14:paraId="75DAF50B" w14:textId="5FC512EC" w:rsidR="0068393A" w:rsidRDefault="00666115" w:rsidP="0068393A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>(</w:t>
            </w:r>
            <w:r w:rsidR="0068393A">
              <w:t>Notrufnummern</w:t>
            </w:r>
            <w:r>
              <w:t>)</w:t>
            </w:r>
          </w:p>
          <w:p w14:paraId="6BF7A0E7" w14:textId="491020CA" w:rsidR="0068393A" w:rsidRDefault="006E28E0" w:rsidP="0068393A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 xml:space="preserve">ggf. besondere betriebliche </w:t>
            </w:r>
            <w:r w:rsidR="0068393A">
              <w:t>Erste</w:t>
            </w:r>
            <w:r w:rsidR="00A97AC4">
              <w:t>-</w:t>
            </w:r>
            <w:r w:rsidR="0068393A">
              <w:t>Hilfe-Maßnahmen:</w:t>
            </w:r>
            <w:r w:rsidR="00666115">
              <w:t xml:space="preserve"> (Was</w:t>
            </w:r>
            <w:r w:rsidR="008B4B51">
              <w:t>?</w:t>
            </w:r>
            <w:r w:rsidR="00666115">
              <w:t>)</w:t>
            </w:r>
          </w:p>
          <w:p w14:paraId="78D11574" w14:textId="764BBDE4" w:rsidR="009D7F7C" w:rsidRPr="006E28E0" w:rsidRDefault="0068393A" w:rsidP="006E28E0">
            <w:pPr>
              <w:pStyle w:val="Listenebene1"/>
            </w:pPr>
            <w:r w:rsidRPr="006E28E0">
              <w:t>Erste</w:t>
            </w:r>
            <w:r w:rsidR="00666115" w:rsidRPr="006E28E0">
              <w:t>-</w:t>
            </w:r>
            <w:r w:rsidRPr="006E28E0">
              <w:t>Hilfe-Leistungen dokumentieren</w:t>
            </w:r>
          </w:p>
        </w:tc>
      </w:tr>
      <w:tr w:rsidR="009D7F7C" w14:paraId="15E599C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9ED0910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5819CDA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86B4292" w14:textId="77777777" w:rsidR="009D7F7C" w:rsidRDefault="009D7F7C" w:rsidP="00F11D9D">
            <w:pPr>
              <w:pStyle w:val="berschrift1"/>
            </w:pPr>
          </w:p>
        </w:tc>
      </w:tr>
      <w:tr w:rsidR="008822F8" w14:paraId="3083229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4485C3A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7EFE6E97" w14:textId="1F2CF1D5" w:rsidR="008F4980" w:rsidRPr="00A92A01" w:rsidRDefault="008F4980" w:rsidP="00C73D98">
            <w:pPr>
              <w:pStyle w:val="Listenebene1"/>
              <w:rPr>
                <w:lang w:eastAsia="de-DE"/>
              </w:rPr>
            </w:pPr>
            <w:r w:rsidRPr="00A92A01">
              <w:rPr>
                <w:lang w:eastAsia="de-DE"/>
              </w:rPr>
              <w:t xml:space="preserve">Reparaturen, Wartungsarbeiten und Inspektionen nur </w:t>
            </w:r>
            <w:r>
              <w:rPr>
                <w:lang w:eastAsia="de-DE"/>
              </w:rPr>
              <w:t xml:space="preserve">durch hiermit beauftragte </w:t>
            </w:r>
            <w:r w:rsidRPr="00A92A01">
              <w:rPr>
                <w:lang w:eastAsia="de-DE"/>
              </w:rPr>
              <w:t>Personen</w:t>
            </w:r>
            <w:r w:rsidR="00666115">
              <w:rPr>
                <w:lang w:eastAsia="de-DE"/>
              </w:rPr>
              <w:t xml:space="preserve"> durchführen lassen</w:t>
            </w:r>
          </w:p>
          <w:p w14:paraId="0706F21E" w14:textId="6A3297BD" w:rsidR="008822F8" w:rsidRPr="008822F8" w:rsidRDefault="00A97AC4" w:rsidP="00C73D98">
            <w:pPr>
              <w:pStyle w:val="Listenebene1"/>
            </w:pPr>
            <w:r>
              <w:t>b</w:t>
            </w:r>
            <w:r w:rsidR="00C73D98" w:rsidRPr="009F6164">
              <w:t>efähigte Person für die Prüfung von Leitern und Tritten</w:t>
            </w:r>
            <w:r w:rsidR="00C73D98" w:rsidRPr="00A80218">
              <w:t>:</w:t>
            </w:r>
            <w:r w:rsidR="00C73D98" w:rsidRPr="00F94AC8">
              <w:t xml:space="preserve"> (Name, Telefonnummer)</w:t>
            </w:r>
          </w:p>
        </w:tc>
      </w:tr>
    </w:tbl>
    <w:p w14:paraId="31D2F5D0" w14:textId="77777777" w:rsidR="000D5C63" w:rsidRDefault="00C82C24" w:rsidP="00357BA4">
      <w:r>
        <w:t>Datum, Unterschrift</w:t>
      </w:r>
    </w:p>
    <w:p w14:paraId="052D092E" w14:textId="77777777" w:rsidR="00C82C24" w:rsidRDefault="00C82C24" w:rsidP="00357BA4"/>
    <w:p w14:paraId="2BC5CA4E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D6C1" w14:textId="77777777" w:rsidR="00326E79" w:rsidRDefault="00326E79" w:rsidP="005C4990">
      <w:r>
        <w:separator/>
      </w:r>
    </w:p>
  </w:endnote>
  <w:endnote w:type="continuationSeparator" w:id="0">
    <w:p w14:paraId="14B79802" w14:textId="77777777" w:rsidR="00326E79" w:rsidRDefault="00326E79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0029" w14:textId="77777777" w:rsidR="00326E79" w:rsidRDefault="00326E79" w:rsidP="005C4990">
      <w:r>
        <w:separator/>
      </w:r>
    </w:p>
  </w:footnote>
  <w:footnote w:type="continuationSeparator" w:id="0">
    <w:p w14:paraId="65370C2C" w14:textId="77777777" w:rsidR="00326E79" w:rsidRDefault="00326E79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71AD"/>
    <w:multiLevelType w:val="hybridMultilevel"/>
    <w:tmpl w:val="7A7C4844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84FF3"/>
    <w:multiLevelType w:val="hybridMultilevel"/>
    <w:tmpl w:val="64FA37A2"/>
    <w:lvl w:ilvl="0" w:tplc="8C7014DA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4"/>
  </w:num>
  <w:num w:numId="4">
    <w:abstractNumId w:val="43"/>
  </w:num>
  <w:num w:numId="5">
    <w:abstractNumId w:val="38"/>
  </w:num>
  <w:num w:numId="6">
    <w:abstractNumId w:val="4"/>
  </w:num>
  <w:num w:numId="7">
    <w:abstractNumId w:val="20"/>
  </w:num>
  <w:num w:numId="8">
    <w:abstractNumId w:val="0"/>
  </w:num>
  <w:num w:numId="9">
    <w:abstractNumId w:val="14"/>
  </w:num>
  <w:num w:numId="10">
    <w:abstractNumId w:val="2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</w:num>
  <w:num w:numId="14">
    <w:abstractNumId w:val="27"/>
  </w:num>
  <w:num w:numId="15">
    <w:abstractNumId w:val="21"/>
  </w:num>
  <w:num w:numId="16">
    <w:abstractNumId w:val="31"/>
  </w:num>
  <w:num w:numId="17">
    <w:abstractNumId w:val="15"/>
  </w:num>
  <w:num w:numId="18">
    <w:abstractNumId w:val="18"/>
  </w:num>
  <w:num w:numId="19">
    <w:abstractNumId w:val="12"/>
  </w:num>
  <w:num w:numId="20">
    <w:abstractNumId w:val="26"/>
  </w:num>
  <w:num w:numId="21">
    <w:abstractNumId w:val="9"/>
  </w:num>
  <w:num w:numId="22">
    <w:abstractNumId w:val="2"/>
  </w:num>
  <w:num w:numId="23">
    <w:abstractNumId w:val="29"/>
  </w:num>
  <w:num w:numId="24">
    <w:abstractNumId w:val="1"/>
  </w:num>
  <w:num w:numId="25">
    <w:abstractNumId w:val="30"/>
  </w:num>
  <w:num w:numId="26">
    <w:abstractNumId w:val="36"/>
  </w:num>
  <w:num w:numId="27">
    <w:abstractNumId w:val="33"/>
  </w:num>
  <w:num w:numId="28">
    <w:abstractNumId w:val="10"/>
  </w:num>
  <w:num w:numId="29">
    <w:abstractNumId w:val="42"/>
  </w:num>
  <w:num w:numId="30">
    <w:abstractNumId w:val="16"/>
  </w:num>
  <w:num w:numId="31">
    <w:abstractNumId w:val="13"/>
  </w:num>
  <w:num w:numId="32">
    <w:abstractNumId w:val="35"/>
  </w:num>
  <w:num w:numId="33">
    <w:abstractNumId w:val="32"/>
  </w:num>
  <w:num w:numId="34">
    <w:abstractNumId w:val="24"/>
  </w:num>
  <w:num w:numId="35">
    <w:abstractNumId w:val="25"/>
  </w:num>
  <w:num w:numId="36">
    <w:abstractNumId w:val="41"/>
  </w:num>
  <w:num w:numId="37">
    <w:abstractNumId w:val="40"/>
  </w:num>
  <w:num w:numId="38">
    <w:abstractNumId w:val="11"/>
  </w:num>
  <w:num w:numId="39">
    <w:abstractNumId w:val="3"/>
  </w:num>
  <w:num w:numId="40">
    <w:abstractNumId w:val="22"/>
  </w:num>
  <w:num w:numId="41">
    <w:abstractNumId w:val="5"/>
  </w:num>
  <w:num w:numId="42">
    <w:abstractNumId w:val="6"/>
  </w:num>
  <w:num w:numId="43">
    <w:abstractNumId w:val="19"/>
  </w:num>
  <w:num w:numId="44">
    <w:abstractNumId w:val="17"/>
  </w:num>
  <w:num w:numId="45">
    <w:abstractNumId w:val="2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1C"/>
    <w:rsid w:val="00002C56"/>
    <w:rsid w:val="0000510F"/>
    <w:rsid w:val="00013BA9"/>
    <w:rsid w:val="00014D33"/>
    <w:rsid w:val="00022C69"/>
    <w:rsid w:val="00033502"/>
    <w:rsid w:val="000356C0"/>
    <w:rsid w:val="00037B84"/>
    <w:rsid w:val="00040567"/>
    <w:rsid w:val="00047CF0"/>
    <w:rsid w:val="00061A4C"/>
    <w:rsid w:val="00066847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C725A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23C01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1F496F"/>
    <w:rsid w:val="00207C33"/>
    <w:rsid w:val="0021028C"/>
    <w:rsid w:val="00212BCA"/>
    <w:rsid w:val="00214F21"/>
    <w:rsid w:val="00223EB5"/>
    <w:rsid w:val="00224679"/>
    <w:rsid w:val="00234174"/>
    <w:rsid w:val="002366E5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26E79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6A30"/>
    <w:rsid w:val="004371EB"/>
    <w:rsid w:val="00440A39"/>
    <w:rsid w:val="00451AD5"/>
    <w:rsid w:val="00453E2C"/>
    <w:rsid w:val="00460CB3"/>
    <w:rsid w:val="004614AA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1706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16A78"/>
    <w:rsid w:val="0062100C"/>
    <w:rsid w:val="00627789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115"/>
    <w:rsid w:val="006663A3"/>
    <w:rsid w:val="00666562"/>
    <w:rsid w:val="0067066B"/>
    <w:rsid w:val="0068393A"/>
    <w:rsid w:val="00695440"/>
    <w:rsid w:val="006A40CE"/>
    <w:rsid w:val="006B16C8"/>
    <w:rsid w:val="006B2F85"/>
    <w:rsid w:val="006B522F"/>
    <w:rsid w:val="006C6F1C"/>
    <w:rsid w:val="006C748A"/>
    <w:rsid w:val="006D1AD3"/>
    <w:rsid w:val="006D591D"/>
    <w:rsid w:val="006E0C23"/>
    <w:rsid w:val="006E28E0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B6F03"/>
    <w:rsid w:val="007C62A9"/>
    <w:rsid w:val="007C770B"/>
    <w:rsid w:val="007D22D7"/>
    <w:rsid w:val="007D6FF4"/>
    <w:rsid w:val="007D7E60"/>
    <w:rsid w:val="007E065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4662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4B51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D7D1C"/>
    <w:rsid w:val="008E1269"/>
    <w:rsid w:val="008E1B17"/>
    <w:rsid w:val="008F4980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97AC4"/>
    <w:rsid w:val="00AA45B3"/>
    <w:rsid w:val="00AA5959"/>
    <w:rsid w:val="00AB75EC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654E"/>
    <w:rsid w:val="00B6758C"/>
    <w:rsid w:val="00B757AE"/>
    <w:rsid w:val="00B8137C"/>
    <w:rsid w:val="00B819A4"/>
    <w:rsid w:val="00B9111D"/>
    <w:rsid w:val="00B94982"/>
    <w:rsid w:val="00B96ED4"/>
    <w:rsid w:val="00BB08D3"/>
    <w:rsid w:val="00BC0E99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214B"/>
    <w:rsid w:val="00C354F0"/>
    <w:rsid w:val="00C35FDC"/>
    <w:rsid w:val="00C41755"/>
    <w:rsid w:val="00C703DA"/>
    <w:rsid w:val="00C73D98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DF3378"/>
    <w:rsid w:val="00E10794"/>
    <w:rsid w:val="00E3062B"/>
    <w:rsid w:val="00E3754C"/>
    <w:rsid w:val="00E414EB"/>
    <w:rsid w:val="00E42C1F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52"/>
    <w:rsid w:val="00F27356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4AB5C"/>
  <w15:docId w15:val="{26FEF064-2903-4ADA-B1F8-D50D8D55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6E28E0"/>
    <w:pPr>
      <w:numPr>
        <w:numId w:val="40"/>
      </w:numPr>
      <w:ind w:left="221" w:hanging="221"/>
      <w:jc w:val="both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character" w:customStyle="1" w:styleId="WW8Num9z0">
    <w:name w:val="WW8Num9z0"/>
    <w:rsid w:val="008F4980"/>
    <w:rPr>
      <w:rFonts w:ascii="Symbol" w:hAnsi="Symbol"/>
    </w:rPr>
  </w:style>
  <w:style w:type="paragraph" w:customStyle="1" w:styleId="FormatvorlageRegeln">
    <w:name w:val="Formatvorlage_Regeln"/>
    <w:basedOn w:val="Standard"/>
    <w:rsid w:val="008F4980"/>
    <w:pPr>
      <w:numPr>
        <w:numId w:val="42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5570-E3BF-448F-ACE9-83F3F8C9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7-3 - Stehleitern - Muster-Betriebsanweisung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7-3 - Stehleitern - Muster-Betriebsanweisung</dc:title>
  <dc:creator>Berufsgenossenschaft Handel und Warenlogistik (BGHW)</dc:creator>
  <cp:lastModifiedBy>Richarz, Saskia</cp:lastModifiedBy>
  <cp:revision>23</cp:revision>
  <cp:lastPrinted>2024-07-19T05:45:00Z</cp:lastPrinted>
  <dcterms:created xsi:type="dcterms:W3CDTF">2024-08-21T06:53:00Z</dcterms:created>
  <dcterms:modified xsi:type="dcterms:W3CDTF">2026-03-27T03:09:00Z</dcterms:modified>
</cp:coreProperties>
</file>