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63E77B89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648BA921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5CE44103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3B9EEAC1" w14:textId="59F91299" w:rsidR="00BF3102" w:rsidRPr="00BF3102" w:rsidRDefault="00806159" w:rsidP="00BF3102">
            <w:pPr>
              <w:pStyle w:val="Titel"/>
            </w:pPr>
            <w:r>
              <w:t>Verhalten bei und nach Überfall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5AA0BFB5" w14:textId="49EA9104" w:rsidR="00FB079F" w:rsidRDefault="00FB079F" w:rsidP="00F11D9D">
            <w:pPr>
              <w:jc w:val="right"/>
            </w:pPr>
            <w:r>
              <w:t>Stand: TT.MM.</w:t>
            </w:r>
            <w:r w:rsidR="00437753">
              <w:t>JJJJ</w:t>
            </w:r>
          </w:p>
        </w:tc>
      </w:tr>
      <w:tr w:rsidR="00FB079F" w14:paraId="16F38231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27B2F7B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AD94D11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D6E2E50" w14:textId="77777777" w:rsidR="00FB079F" w:rsidRDefault="00FB079F" w:rsidP="00F11D9D">
            <w:pPr>
              <w:pStyle w:val="berschrift1"/>
            </w:pPr>
          </w:p>
        </w:tc>
      </w:tr>
      <w:tr w:rsidR="008168DD" w14:paraId="5F62FA85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16D63E16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341892E2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2DC7A71E" w14:textId="3582798B" w:rsidR="008168DD" w:rsidRPr="00F11D9D" w:rsidRDefault="008168DD" w:rsidP="00F11D9D">
            <w:r w:rsidRPr="00F11D9D">
              <w:t>Tätigkeit</w:t>
            </w:r>
            <w:r w:rsidR="0008036B">
              <w:t>:</w:t>
            </w:r>
            <w:r w:rsidR="00F45EB1">
              <w:t xml:space="preserve"> Verhalten bei und nach </w:t>
            </w:r>
            <w:r w:rsidR="00594E46">
              <w:t xml:space="preserve">einem </w:t>
            </w:r>
            <w:r w:rsidR="00F45EB1">
              <w:t>Überfall</w:t>
            </w:r>
          </w:p>
        </w:tc>
      </w:tr>
      <w:tr w:rsidR="00FB079F" w14:paraId="3589AC5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331AB3C" w14:textId="77777777" w:rsidR="00FB079F" w:rsidRPr="00594E46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38324B7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9246D80" w14:textId="77777777" w:rsidR="00FB079F" w:rsidRDefault="00FB079F" w:rsidP="00F11D9D">
            <w:pPr>
              <w:pStyle w:val="berschrift1"/>
            </w:pPr>
          </w:p>
        </w:tc>
      </w:tr>
      <w:tr w:rsidR="008168DD" w14:paraId="0C77D07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256B2F9" w14:textId="0FAAC4DF" w:rsidR="008168DD" w:rsidRPr="00594E46" w:rsidRDefault="008168DD" w:rsidP="007D22D7">
            <w:pPr>
              <w:spacing w:after="2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31CA1CB" w14:textId="687C8AE0" w:rsidR="00594E46" w:rsidRDefault="00594E46" w:rsidP="00594E46">
            <w:pPr>
              <w:pStyle w:val="Listenebene1"/>
            </w:pPr>
            <w:r w:rsidRPr="00B46526">
              <w:t>Gefahr körperlicher oder psychischer Verletzungen</w:t>
            </w:r>
          </w:p>
        </w:tc>
      </w:tr>
      <w:tr w:rsidR="009D7F7C" w14:paraId="68CFA5E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9ABE9B6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331EA33" w14:textId="15AE4B34" w:rsidR="009D7F7C" w:rsidRPr="00F11D9D" w:rsidRDefault="00087EFF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CF25C67" w14:textId="77777777" w:rsidR="009D7F7C" w:rsidRDefault="009D7F7C" w:rsidP="00F11D9D">
            <w:pPr>
              <w:pStyle w:val="berschrift1"/>
            </w:pPr>
          </w:p>
        </w:tc>
      </w:tr>
      <w:tr w:rsidR="008822F8" w14:paraId="3F9218C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011C482B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552E042C" w14:textId="77777777" w:rsidR="00087EFF" w:rsidRDefault="00087EFF" w:rsidP="00087EFF">
            <w:pPr>
              <w:rPr>
                <w:lang w:eastAsia="ar-SA"/>
              </w:rPr>
            </w:pPr>
            <w:r>
              <w:rPr>
                <w:lang w:eastAsia="ar-SA"/>
              </w:rPr>
              <w:t>Während eines Raubüberfalls:</w:t>
            </w:r>
          </w:p>
          <w:p w14:paraId="6162E513" w14:textId="77777777" w:rsidR="00087EFF" w:rsidRDefault="00087EFF" w:rsidP="00087EFF">
            <w:pPr>
              <w:pStyle w:val="Listenebene1"/>
            </w:pPr>
            <w:r>
              <w:t>Grundregel beachten: d</w:t>
            </w:r>
            <w:r w:rsidRPr="0017060C">
              <w:t>er Schutz von Leben und Gesundheit hat immer Vorrang vor dem Schutz materieller Werte</w:t>
            </w:r>
          </w:p>
          <w:p w14:paraId="29FAE29E" w14:textId="5DA69A92" w:rsidR="00087EFF" w:rsidRPr="00806159" w:rsidRDefault="00087EFF" w:rsidP="00087EFF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v</w:t>
            </w:r>
            <w:r w:rsidRPr="00806159">
              <w:rPr>
                <w:lang w:eastAsia="ar-SA"/>
              </w:rPr>
              <w:t>ersuchen</w:t>
            </w:r>
            <w:r>
              <w:rPr>
                <w:lang w:eastAsia="ar-SA"/>
              </w:rPr>
              <w:t>,</w:t>
            </w:r>
            <w:r w:rsidRPr="00806159">
              <w:rPr>
                <w:lang w:eastAsia="ar-SA"/>
              </w:rPr>
              <w:t xml:space="preserve"> Ruhe zu bewahren</w:t>
            </w:r>
          </w:p>
          <w:p w14:paraId="18D4A3A3" w14:textId="77777777" w:rsidR="00087EFF" w:rsidRPr="00806159" w:rsidRDefault="00087EFF" w:rsidP="00087EFF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k</w:t>
            </w:r>
            <w:r w:rsidRPr="00806159">
              <w:rPr>
                <w:lang w:eastAsia="ar-SA"/>
              </w:rPr>
              <w:t>eine Gegenwehr leisten, sich kooperativ verhalten</w:t>
            </w:r>
          </w:p>
          <w:p w14:paraId="30966EB2" w14:textId="77777777" w:rsidR="00087EFF" w:rsidRPr="00806159" w:rsidRDefault="00087EFF" w:rsidP="00087EFF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d</w:t>
            </w:r>
            <w:r w:rsidRPr="00806159">
              <w:rPr>
                <w:lang w:eastAsia="ar-SA"/>
              </w:rPr>
              <w:t>en Täter auf für ihn unerwartete Ereignisse, die ihn stören könnten, hinweisen, wie z. B. das geplante Eintreffen von Lieferanten oder Geldtransporteuren</w:t>
            </w:r>
          </w:p>
          <w:p w14:paraId="16216B46" w14:textId="50124127" w:rsidR="00087EFF" w:rsidRPr="00806159" w:rsidRDefault="00087EFF" w:rsidP="00087EFF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e</w:t>
            </w:r>
            <w:r w:rsidRPr="00806159">
              <w:rPr>
                <w:lang w:eastAsia="ar-SA"/>
              </w:rPr>
              <w:t>igene Handlungen kommentieren</w:t>
            </w:r>
            <w:r>
              <w:rPr>
                <w:lang w:eastAsia="ar-SA"/>
              </w:rPr>
              <w:t xml:space="preserve">, was </w:t>
            </w:r>
            <w:r w:rsidR="002E1D0B">
              <w:rPr>
                <w:lang w:eastAsia="ar-SA"/>
              </w:rPr>
              <w:t>Sie</w:t>
            </w:r>
            <w:r>
              <w:rPr>
                <w:lang w:eastAsia="ar-SA"/>
              </w:rPr>
              <w:t xml:space="preserve"> und Täter beruhigen kann</w:t>
            </w:r>
            <w:r w:rsidR="00937E1A">
              <w:rPr>
                <w:lang w:eastAsia="ar-SA"/>
              </w:rPr>
              <w:t>, z. B.</w:t>
            </w:r>
            <w:r>
              <w:rPr>
                <w:lang w:eastAsia="ar-SA"/>
              </w:rPr>
              <w:t xml:space="preserve"> „</w:t>
            </w:r>
            <w:r w:rsidRPr="00806159">
              <w:rPr>
                <w:lang w:eastAsia="ar-SA"/>
              </w:rPr>
              <w:t>Hier ist nicht mehr Geld. Bitte überzeugen Sie sich selbst</w:t>
            </w:r>
            <w:r>
              <w:rPr>
                <w:lang w:eastAsia="ar-SA"/>
              </w:rPr>
              <w:t xml:space="preserve"> –</w:t>
            </w:r>
            <w:r w:rsidRPr="00806159">
              <w:rPr>
                <w:lang w:eastAsia="ar-SA"/>
              </w:rPr>
              <w:t xml:space="preserve"> die Kasse ist leer.“</w:t>
            </w:r>
          </w:p>
          <w:p w14:paraId="1B1D1048" w14:textId="77777777" w:rsidR="00087EFF" w:rsidRPr="00806159" w:rsidRDefault="00087EFF" w:rsidP="00087EFF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k</w:t>
            </w:r>
            <w:r w:rsidRPr="00806159">
              <w:rPr>
                <w:lang w:eastAsia="ar-SA"/>
              </w:rPr>
              <w:t>eine hastigen Bewegungen ausführen, z. B. nicht die Kassenlade zuschlagen</w:t>
            </w:r>
          </w:p>
          <w:p w14:paraId="4506684E" w14:textId="24D472AF" w:rsidR="00087EFF" w:rsidRPr="00806159" w:rsidRDefault="00087EFF" w:rsidP="00087EFF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e</w:t>
            </w:r>
            <w:r w:rsidRPr="00806159">
              <w:rPr>
                <w:lang w:eastAsia="ar-SA"/>
              </w:rPr>
              <w:t>hrlich zum Täter sein</w:t>
            </w:r>
            <w:r w:rsidR="00937E1A">
              <w:rPr>
                <w:lang w:eastAsia="ar-SA"/>
              </w:rPr>
              <w:t xml:space="preserve"> und nicht fälschlicherweise behaupten, dass z. B. kein Schlüssel zum Kassenbüro oder kein Geld vorhanden ist – de</w:t>
            </w:r>
            <w:r w:rsidRPr="00806159">
              <w:rPr>
                <w:lang w:eastAsia="ar-SA"/>
              </w:rPr>
              <w:t>r Täter kann durch Beobachtung oder Tippgebe</w:t>
            </w:r>
            <w:r w:rsidR="00937E1A">
              <w:rPr>
                <w:lang w:eastAsia="ar-SA"/>
              </w:rPr>
              <w:t>nde</w:t>
            </w:r>
            <w:r w:rsidRPr="00806159">
              <w:rPr>
                <w:lang w:eastAsia="ar-SA"/>
              </w:rPr>
              <w:t xml:space="preserve"> die Wahrheit wissen</w:t>
            </w:r>
          </w:p>
          <w:p w14:paraId="21DC637C" w14:textId="4A648557" w:rsidR="00087EFF" w:rsidRPr="00806159" w:rsidRDefault="00937E1A" w:rsidP="00087EFF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e</w:t>
            </w:r>
            <w:r w:rsidR="00087EFF" w:rsidRPr="00806159">
              <w:rPr>
                <w:lang w:eastAsia="ar-SA"/>
              </w:rPr>
              <w:t>inen sicheren</w:t>
            </w:r>
            <w:r>
              <w:rPr>
                <w:lang w:eastAsia="ar-SA"/>
              </w:rPr>
              <w:t>,</w:t>
            </w:r>
            <w:r w:rsidR="00087EFF" w:rsidRPr="00806159">
              <w:rPr>
                <w:lang w:eastAsia="ar-SA"/>
              </w:rPr>
              <w:t xml:space="preserve"> rückwärtigen Bereich keinesfalls verlassen, um eine</w:t>
            </w:r>
            <w:r>
              <w:rPr>
                <w:lang w:eastAsia="ar-SA"/>
              </w:rPr>
              <w:t>r bedrohten Kollegin oder einem</w:t>
            </w:r>
            <w:r w:rsidR="00087EFF" w:rsidRPr="00806159">
              <w:rPr>
                <w:lang w:eastAsia="ar-SA"/>
              </w:rPr>
              <w:t xml:space="preserve"> bedrohten </w:t>
            </w:r>
            <w:r>
              <w:rPr>
                <w:lang w:eastAsia="ar-SA"/>
              </w:rPr>
              <w:t>Kollegen</w:t>
            </w:r>
            <w:r w:rsidR="00087EFF" w:rsidRPr="00806159">
              <w:rPr>
                <w:lang w:eastAsia="ar-SA"/>
              </w:rPr>
              <w:t xml:space="preserve"> zu Hilfe kommen zu wollen</w:t>
            </w:r>
            <w:r>
              <w:rPr>
                <w:lang w:eastAsia="ar-SA"/>
              </w:rPr>
              <w:t xml:space="preserve"> – d</w:t>
            </w:r>
            <w:r w:rsidR="00087EFF" w:rsidRPr="00806159">
              <w:rPr>
                <w:lang w:eastAsia="ar-SA"/>
              </w:rPr>
              <w:t>ies kann zur Eskalation der Situation führen</w:t>
            </w:r>
          </w:p>
          <w:p w14:paraId="1EE15C26" w14:textId="77777777" w:rsidR="00087EFF" w:rsidRPr="00806159" w:rsidRDefault="00087EFF" w:rsidP="00087EFF">
            <w:pPr>
              <w:pStyle w:val="Listenebene1"/>
              <w:rPr>
                <w:lang w:eastAsia="ar-SA"/>
              </w:rPr>
            </w:pPr>
            <w:r w:rsidRPr="00806159">
              <w:rPr>
                <w:lang w:eastAsia="ar-SA"/>
              </w:rPr>
              <w:t>Alarm auslösen, wenn dadurch keine zusätzliche Gefährdung zu erwarten ist</w:t>
            </w:r>
          </w:p>
          <w:p w14:paraId="4698D7F3" w14:textId="0852ED41" w:rsidR="00087EFF" w:rsidRPr="00806159" w:rsidRDefault="00087EFF" w:rsidP="00087EFF">
            <w:pPr>
              <w:pStyle w:val="Listenebene1"/>
              <w:rPr>
                <w:lang w:eastAsia="ar-SA"/>
              </w:rPr>
            </w:pPr>
            <w:r w:rsidRPr="00806159">
              <w:rPr>
                <w:lang w:eastAsia="ar-SA"/>
              </w:rPr>
              <w:t>Äußeres des Täters und Tatablauf einprägen</w:t>
            </w:r>
            <w:r w:rsidR="00937E1A">
              <w:rPr>
                <w:lang w:eastAsia="ar-SA"/>
              </w:rPr>
              <w:t>, denn e</w:t>
            </w:r>
            <w:r w:rsidRPr="00806159">
              <w:rPr>
                <w:lang w:eastAsia="ar-SA"/>
              </w:rPr>
              <w:t>ine gute Täterbeschreibung unterstützt die Fahndung der Polizei</w:t>
            </w:r>
          </w:p>
          <w:p w14:paraId="70A15D51" w14:textId="77777777" w:rsidR="00087EFF" w:rsidRDefault="00087EFF" w:rsidP="00087EFF">
            <w:pPr>
              <w:pStyle w:val="Listenebene1"/>
            </w:pPr>
            <w:r w:rsidRPr="00806159">
              <w:rPr>
                <w:lang w:eastAsia="ar-SA"/>
              </w:rPr>
              <w:t>Täter nicht an der Flucht hindern, Täter nicht verfolgen</w:t>
            </w:r>
          </w:p>
          <w:p w14:paraId="7985D6AC" w14:textId="68B73686" w:rsidR="00087EFF" w:rsidRDefault="00087EFF" w:rsidP="00087EFF">
            <w:pPr>
              <w:spacing w:before="120"/>
            </w:pPr>
            <w:r>
              <w:t>Nach einem Raubüberfall:</w:t>
            </w:r>
          </w:p>
          <w:p w14:paraId="1A3BC223" w14:textId="42DD6F20" w:rsidR="00087EFF" w:rsidRDefault="00087EFF" w:rsidP="00087EFF">
            <w:pPr>
              <w:pStyle w:val="Listenebene1"/>
            </w:pPr>
            <w:r>
              <w:t>bei Bedarf Erste Hilfe leisten und sich um Betroffene kümmern</w:t>
            </w:r>
          </w:p>
          <w:p w14:paraId="0FB26499" w14:textId="77934819" w:rsidR="002E1D0B" w:rsidRDefault="002E1D0B" w:rsidP="00087EFF">
            <w:pPr>
              <w:pStyle w:val="Listenebene1"/>
            </w:pPr>
            <w:r>
              <w:t>Polizei und ggf. Rettungsdienst informieren (Telefonnummern)</w:t>
            </w:r>
          </w:p>
          <w:p w14:paraId="5B3F1A1E" w14:textId="675A566C" w:rsidR="00087EFF" w:rsidRDefault="00087EFF" w:rsidP="00087EFF">
            <w:pPr>
              <w:pStyle w:val="Listenebene1"/>
            </w:pPr>
            <w:r>
              <w:t>Führungskraft (Name) informieren (Telefonnummer)</w:t>
            </w:r>
          </w:p>
          <w:p w14:paraId="6BFF0318" w14:textId="77777777" w:rsidR="00087EFF" w:rsidRPr="00806159" w:rsidRDefault="00087EFF" w:rsidP="00087EFF">
            <w:pPr>
              <w:pStyle w:val="Listenebene1"/>
              <w:rPr>
                <w:lang w:eastAsia="ar-SA"/>
              </w:rPr>
            </w:pPr>
            <w:r w:rsidRPr="00806159">
              <w:rPr>
                <w:lang w:eastAsia="ar-SA"/>
              </w:rPr>
              <w:t>Geschäftsbetrieb einstellen, nichts verändern oder berühren</w:t>
            </w:r>
          </w:p>
          <w:p w14:paraId="31268FB4" w14:textId="77777777" w:rsidR="00087EFF" w:rsidRPr="00806159" w:rsidRDefault="00087EFF" w:rsidP="00087EFF">
            <w:pPr>
              <w:pStyle w:val="Listenebene1"/>
              <w:rPr>
                <w:lang w:eastAsia="ar-SA"/>
              </w:rPr>
            </w:pPr>
            <w:r w:rsidRPr="00806159">
              <w:rPr>
                <w:lang w:eastAsia="ar-SA"/>
              </w:rPr>
              <w:t>Zeugen auffordern, das Eintreffen der Polizei abzuwarten, oder Zeugen bitten</w:t>
            </w:r>
            <w:r>
              <w:rPr>
                <w:lang w:eastAsia="ar-SA"/>
              </w:rPr>
              <w:t>,</w:t>
            </w:r>
            <w:r w:rsidRPr="00806159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i</w:t>
            </w:r>
            <w:r w:rsidRPr="00806159">
              <w:rPr>
                <w:lang w:eastAsia="ar-SA"/>
              </w:rPr>
              <w:t>hre Personalien zu hinterlassen</w:t>
            </w:r>
          </w:p>
          <w:p w14:paraId="2F63BA18" w14:textId="30AA4106" w:rsidR="00087EFF" w:rsidRPr="00806159" w:rsidRDefault="00087EFF" w:rsidP="00087EFF">
            <w:pPr>
              <w:pStyle w:val="Listenebene1"/>
              <w:rPr>
                <w:lang w:eastAsia="ar-SA"/>
              </w:rPr>
            </w:pPr>
            <w:r w:rsidRPr="00806159">
              <w:rPr>
                <w:lang w:eastAsia="ar-SA"/>
              </w:rPr>
              <w:t>Notizen zum Tathergang und zu Täter bzw. Tätern machen</w:t>
            </w:r>
            <w:r>
              <w:rPr>
                <w:lang w:eastAsia="ar-SA"/>
              </w:rPr>
              <w:t>, g</w:t>
            </w:r>
            <w:r w:rsidRPr="00806159">
              <w:rPr>
                <w:lang w:eastAsia="ar-SA"/>
              </w:rPr>
              <w:t>gf. Fahndungsblatt nutzen</w:t>
            </w:r>
          </w:p>
          <w:p w14:paraId="1FE6EC0F" w14:textId="77777777" w:rsidR="00087EFF" w:rsidRPr="00806159" w:rsidRDefault="00087EFF" w:rsidP="00087EFF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k</w:t>
            </w:r>
            <w:r w:rsidRPr="00806159">
              <w:rPr>
                <w:lang w:eastAsia="ar-SA"/>
              </w:rPr>
              <w:t>eine Auskünfte an die Presse geben ohne Absprache z.</w:t>
            </w:r>
            <w:r>
              <w:rPr>
                <w:lang w:eastAsia="ar-SA"/>
              </w:rPr>
              <w:t xml:space="preserve"> </w:t>
            </w:r>
            <w:r w:rsidRPr="00806159">
              <w:rPr>
                <w:lang w:eastAsia="ar-SA"/>
              </w:rPr>
              <w:t>B. mit der Polizei</w:t>
            </w:r>
          </w:p>
          <w:p w14:paraId="78FABDE8" w14:textId="77777777" w:rsidR="00087EFF" w:rsidRPr="00806159" w:rsidRDefault="00087EFF" w:rsidP="00087EFF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b</w:t>
            </w:r>
            <w:r w:rsidRPr="00806159">
              <w:rPr>
                <w:lang w:eastAsia="ar-SA"/>
              </w:rPr>
              <w:t xml:space="preserve">ei Gesundheitsbeschwerden </w:t>
            </w:r>
            <w:r>
              <w:rPr>
                <w:lang w:eastAsia="ar-SA"/>
              </w:rPr>
              <w:t>Ärztin bzw. Arzt aufsuchen</w:t>
            </w:r>
          </w:p>
          <w:p w14:paraId="35094468" w14:textId="64A64A00" w:rsidR="008822F8" w:rsidRPr="008822F8" w:rsidRDefault="00087EFF" w:rsidP="00087EFF">
            <w:pPr>
              <w:pStyle w:val="Listenebene1"/>
            </w:pPr>
            <w:r w:rsidRPr="00806159">
              <w:rPr>
                <w:lang w:eastAsia="ar-SA"/>
              </w:rPr>
              <w:t>Meldung an die BGHW veranlassen, damit den Betroffenen zeitnah eine psychologische Akutintervention angeboten werden kann</w:t>
            </w:r>
          </w:p>
        </w:tc>
      </w:tr>
    </w:tbl>
    <w:p w14:paraId="62CC9AAF" w14:textId="77777777" w:rsidR="000D5C63" w:rsidRDefault="00C82C24" w:rsidP="00357BA4">
      <w:r>
        <w:t>Datum, Unterschrift</w:t>
      </w:r>
    </w:p>
    <w:p w14:paraId="5E5729C0" w14:textId="77777777" w:rsidR="00C82C24" w:rsidRDefault="00C82C24" w:rsidP="00357BA4"/>
    <w:p w14:paraId="50E9A675" w14:textId="370EEDC3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  <w:r w:rsidR="0092484B">
        <w:t xml:space="preserve"> Aus Gründen der besseren Lesbarkeit wurde in dieser Muster-Betriebsanweisung auf das Gendern des Begriffs „Täter“ verzichtet. Gemeint sich selbstverständlich ebenso Täterinnen.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A8C2" w14:textId="77777777" w:rsidR="00C34B44" w:rsidRDefault="00C34B44" w:rsidP="005C4990">
      <w:r>
        <w:separator/>
      </w:r>
    </w:p>
  </w:endnote>
  <w:endnote w:type="continuationSeparator" w:id="0">
    <w:p w14:paraId="4E1FD317" w14:textId="77777777" w:rsidR="00C34B44" w:rsidRDefault="00C34B44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AE156" w14:textId="77777777" w:rsidR="00C34B44" w:rsidRDefault="00C34B44" w:rsidP="005C4990">
      <w:r>
        <w:separator/>
      </w:r>
    </w:p>
  </w:footnote>
  <w:footnote w:type="continuationSeparator" w:id="0">
    <w:p w14:paraId="63F81A92" w14:textId="77777777" w:rsidR="00C34B44" w:rsidRDefault="00C34B44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23DED"/>
    <w:multiLevelType w:val="hybridMultilevel"/>
    <w:tmpl w:val="C5C22E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1"/>
  </w:num>
  <w:num w:numId="4">
    <w:abstractNumId w:val="40"/>
  </w:num>
  <w:num w:numId="5">
    <w:abstractNumId w:val="35"/>
  </w:num>
  <w:num w:numId="6">
    <w:abstractNumId w:val="4"/>
  </w:num>
  <w:num w:numId="7">
    <w:abstractNumId w:val="17"/>
  </w:num>
  <w:num w:numId="8">
    <w:abstractNumId w:val="0"/>
  </w:num>
  <w:num w:numId="9">
    <w:abstractNumId w:val="13"/>
  </w:num>
  <w:num w:numId="10">
    <w:abstractNumId w:val="20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25"/>
  </w:num>
  <w:num w:numId="14">
    <w:abstractNumId w:val="24"/>
  </w:num>
  <w:num w:numId="15">
    <w:abstractNumId w:val="18"/>
  </w:num>
  <w:num w:numId="16">
    <w:abstractNumId w:val="28"/>
  </w:num>
  <w:num w:numId="17">
    <w:abstractNumId w:val="14"/>
  </w:num>
  <w:num w:numId="18">
    <w:abstractNumId w:val="16"/>
  </w:num>
  <w:num w:numId="19">
    <w:abstractNumId w:val="11"/>
  </w:num>
  <w:num w:numId="20">
    <w:abstractNumId w:val="23"/>
  </w:num>
  <w:num w:numId="21">
    <w:abstractNumId w:val="8"/>
  </w:num>
  <w:num w:numId="22">
    <w:abstractNumId w:val="2"/>
  </w:num>
  <w:num w:numId="23">
    <w:abstractNumId w:val="26"/>
  </w:num>
  <w:num w:numId="24">
    <w:abstractNumId w:val="1"/>
  </w:num>
  <w:num w:numId="25">
    <w:abstractNumId w:val="27"/>
  </w:num>
  <w:num w:numId="26">
    <w:abstractNumId w:val="33"/>
  </w:num>
  <w:num w:numId="27">
    <w:abstractNumId w:val="30"/>
  </w:num>
  <w:num w:numId="28">
    <w:abstractNumId w:val="9"/>
  </w:num>
  <w:num w:numId="29">
    <w:abstractNumId w:val="39"/>
  </w:num>
  <w:num w:numId="30">
    <w:abstractNumId w:val="15"/>
  </w:num>
  <w:num w:numId="31">
    <w:abstractNumId w:val="12"/>
  </w:num>
  <w:num w:numId="32">
    <w:abstractNumId w:val="32"/>
  </w:num>
  <w:num w:numId="33">
    <w:abstractNumId w:val="29"/>
  </w:num>
  <w:num w:numId="34">
    <w:abstractNumId w:val="21"/>
  </w:num>
  <w:num w:numId="35">
    <w:abstractNumId w:val="22"/>
  </w:num>
  <w:num w:numId="36">
    <w:abstractNumId w:val="38"/>
  </w:num>
  <w:num w:numId="37">
    <w:abstractNumId w:val="37"/>
  </w:num>
  <w:num w:numId="38">
    <w:abstractNumId w:val="10"/>
  </w:num>
  <w:num w:numId="39">
    <w:abstractNumId w:val="3"/>
  </w:num>
  <w:num w:numId="40">
    <w:abstractNumId w:val="19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6D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87EFF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37E6D"/>
    <w:rsid w:val="001400E0"/>
    <w:rsid w:val="00154F62"/>
    <w:rsid w:val="00180323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1D0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1289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37753"/>
    <w:rsid w:val="00440A39"/>
    <w:rsid w:val="00451AD5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24135"/>
    <w:rsid w:val="00535B94"/>
    <w:rsid w:val="00545300"/>
    <w:rsid w:val="00547F18"/>
    <w:rsid w:val="0055165D"/>
    <w:rsid w:val="0055497D"/>
    <w:rsid w:val="00574BDF"/>
    <w:rsid w:val="00585143"/>
    <w:rsid w:val="00594E46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16CD6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23AE"/>
    <w:rsid w:val="007142AD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80615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484B"/>
    <w:rsid w:val="009265E2"/>
    <w:rsid w:val="00927DDE"/>
    <w:rsid w:val="009324BE"/>
    <w:rsid w:val="0093744D"/>
    <w:rsid w:val="00937E1A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4B44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33160"/>
    <w:rsid w:val="00D341F5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45EB1"/>
    <w:rsid w:val="00F576A1"/>
    <w:rsid w:val="00F6144C"/>
    <w:rsid w:val="00F62515"/>
    <w:rsid w:val="00F72F37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374D4A"/>
  <w15:docId w15:val="{E146AF39-3005-45D5-9159-F53F6467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EC09A-32CC-4412-8076-CDF102A49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48-3 - Verhalten bei und nach Überfall - Muster-Betriebsanweisung</vt:lpstr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48-3 - Verhalten bei und nach Überfall - Muster-Betriebsanweisung</dc:title>
  <dc:creator>Berufsgenossenschaft Handel und Warenlogistik (BGHW)</dc:creator>
  <cp:lastModifiedBy>Richarz, Saskia</cp:lastModifiedBy>
  <cp:revision>11</cp:revision>
  <cp:lastPrinted>2024-07-19T05:45:00Z</cp:lastPrinted>
  <dcterms:created xsi:type="dcterms:W3CDTF">2024-08-26T08:56:00Z</dcterms:created>
  <dcterms:modified xsi:type="dcterms:W3CDTF">2026-03-27T03:25:00Z</dcterms:modified>
</cp:coreProperties>
</file>