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3437CAFD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243DE475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75721EAA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360F4882" w14:textId="31EA6662" w:rsidR="00BF3102" w:rsidRPr="00BF3102" w:rsidRDefault="0027544C" w:rsidP="00BF3102">
            <w:pPr>
              <w:pStyle w:val="Titel"/>
            </w:pPr>
            <w:r>
              <w:t>Brennschneiden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035D7AAC" w14:textId="4AD27580" w:rsidR="00FB079F" w:rsidRDefault="00FB079F" w:rsidP="00F11D9D">
            <w:pPr>
              <w:jc w:val="right"/>
            </w:pPr>
            <w:r>
              <w:t>Stand: TT.MM.</w:t>
            </w:r>
            <w:r w:rsidR="006D4A4D">
              <w:t>JJJJ</w:t>
            </w:r>
          </w:p>
        </w:tc>
      </w:tr>
      <w:tr w:rsidR="00FB079F" w14:paraId="6886DCB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B730FB8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82EEE71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B7E54C4" w14:textId="77777777" w:rsidR="00FB079F" w:rsidRDefault="00FB079F" w:rsidP="00F11D9D">
            <w:pPr>
              <w:pStyle w:val="berschrift1"/>
            </w:pPr>
          </w:p>
        </w:tc>
      </w:tr>
      <w:tr w:rsidR="008168DD" w14:paraId="55A08F2B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18CF0A1E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59C3D100" w14:textId="5D5865DE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  <w:r w:rsidR="00601CF0">
              <w:t xml:space="preserve"> Schrotthandel</w:t>
            </w:r>
          </w:p>
          <w:p w14:paraId="4835DE5E" w14:textId="03B1433B" w:rsidR="008168DD" w:rsidRPr="00F11D9D" w:rsidRDefault="008168DD" w:rsidP="0027544C">
            <w:r w:rsidRPr="00F11D9D">
              <w:t>Tätigkeit</w:t>
            </w:r>
            <w:r w:rsidR="0008036B">
              <w:t>:</w:t>
            </w:r>
            <w:r w:rsidR="0027544C">
              <w:t xml:space="preserve"> Brennschneiden</w:t>
            </w:r>
          </w:p>
        </w:tc>
      </w:tr>
      <w:tr w:rsidR="00FB079F" w14:paraId="3FBAFEA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BA1485B" w14:textId="77777777" w:rsidR="00FB079F" w:rsidRPr="00402531" w:rsidRDefault="00FB079F" w:rsidP="00DE3425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5617578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6E44F17" w14:textId="77777777" w:rsidR="00FB079F" w:rsidRDefault="00FB079F" w:rsidP="00F11D9D">
            <w:pPr>
              <w:pStyle w:val="berschrift1"/>
            </w:pPr>
          </w:p>
        </w:tc>
      </w:tr>
      <w:tr w:rsidR="008168DD" w14:paraId="63D7530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C788D6C" w14:textId="77777777" w:rsidR="008168DD" w:rsidRPr="00402531" w:rsidRDefault="0027544C" w:rsidP="00DE3425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402531">
              <w:rPr>
                <w:noProof/>
              </w:rPr>
              <w:drawing>
                <wp:inline distT="0" distB="0" distL="0" distR="0" wp14:anchorId="111C54A3" wp14:editId="06E7BCF9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8F0876" w14:textId="77777777" w:rsidR="0027544C" w:rsidRPr="00402531" w:rsidRDefault="0027544C" w:rsidP="00DE3425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402531">
              <w:rPr>
                <w:noProof/>
              </w:rPr>
              <w:drawing>
                <wp:inline distT="0" distB="0" distL="0" distR="0" wp14:anchorId="19F0EFD8" wp14:editId="4B2DFE1F">
                  <wp:extent cx="612000" cy="536112"/>
                  <wp:effectExtent l="0" t="0" r="0" b="0"/>
                  <wp:docPr id="3" name="Grafik 3" descr="Warnzeichen „Warnung vor explosionsgefährlichen Stoffen“ (W00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C6147" w14:textId="77777777" w:rsidR="0027544C" w:rsidRPr="00402531" w:rsidRDefault="0027544C" w:rsidP="00DE3425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402531">
              <w:rPr>
                <w:noProof/>
              </w:rPr>
              <w:drawing>
                <wp:inline distT="0" distB="0" distL="0" distR="0" wp14:anchorId="312148C5" wp14:editId="2AFFE5D7">
                  <wp:extent cx="612000" cy="536112"/>
                  <wp:effectExtent l="0" t="0" r="0" b="0"/>
                  <wp:docPr id="4" name="Grafik 4" descr="Warnzeichen „Warnung vor feuergefährlichen  Stoffen“ (W02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85E0EF" w14:textId="78FCC38C" w:rsidR="0027544C" w:rsidRPr="00402531" w:rsidRDefault="0027544C" w:rsidP="00DE3425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402531">
              <w:rPr>
                <w:noProof/>
              </w:rPr>
              <w:drawing>
                <wp:inline distT="0" distB="0" distL="0" distR="0" wp14:anchorId="13E6BB23" wp14:editId="15A5E923">
                  <wp:extent cx="612000" cy="536112"/>
                  <wp:effectExtent l="0" t="0" r="0" b="0"/>
                  <wp:docPr id="5" name="Grafik 5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F5602FD" w14:textId="69615595" w:rsidR="0027544C" w:rsidRPr="0027544C" w:rsidRDefault="0027544C" w:rsidP="008240F1">
            <w:pPr>
              <w:pStyle w:val="Listenebene1"/>
              <w:rPr>
                <w:lang w:eastAsia="ar-SA"/>
              </w:rPr>
            </w:pPr>
            <w:r w:rsidRPr="0027544C">
              <w:rPr>
                <w:lang w:eastAsia="ar-SA"/>
              </w:rPr>
              <w:t>Getroffen werden</w:t>
            </w:r>
            <w:r w:rsidR="00601CF0">
              <w:rPr>
                <w:lang w:eastAsia="ar-SA"/>
              </w:rPr>
              <w:t xml:space="preserve">, </w:t>
            </w:r>
            <w:r w:rsidRPr="0027544C">
              <w:rPr>
                <w:lang w:eastAsia="ar-SA"/>
              </w:rPr>
              <w:t>z. B. von herab- oder umfallenden Schrottteilen oder Gasflaschen</w:t>
            </w:r>
          </w:p>
          <w:p w14:paraId="51BD9C18" w14:textId="1769910F" w:rsidR="0027544C" w:rsidRPr="0027544C" w:rsidRDefault="0027544C" w:rsidP="008240F1">
            <w:pPr>
              <w:pStyle w:val="Listenebene1"/>
              <w:rPr>
                <w:lang w:eastAsia="ar-SA"/>
              </w:rPr>
            </w:pPr>
            <w:r w:rsidRPr="0027544C">
              <w:rPr>
                <w:lang w:eastAsia="ar-SA"/>
              </w:rPr>
              <w:t>Schneiden oder Stechen</w:t>
            </w:r>
            <w:r w:rsidR="00601CF0">
              <w:rPr>
                <w:lang w:eastAsia="ar-SA"/>
              </w:rPr>
              <w:t xml:space="preserve">, </w:t>
            </w:r>
            <w:r w:rsidRPr="0027544C">
              <w:rPr>
                <w:lang w:eastAsia="ar-SA"/>
              </w:rPr>
              <w:t>z. B. an scharfkantigem Material</w:t>
            </w:r>
          </w:p>
          <w:p w14:paraId="721A2C0B" w14:textId="135C5D2C" w:rsidR="0027544C" w:rsidRPr="0027544C" w:rsidRDefault="0027544C" w:rsidP="008240F1">
            <w:pPr>
              <w:pStyle w:val="Listenebene1"/>
              <w:rPr>
                <w:lang w:eastAsia="ar-SA"/>
              </w:rPr>
            </w:pPr>
            <w:r w:rsidRPr="0027544C">
              <w:rPr>
                <w:lang w:eastAsia="ar-SA"/>
              </w:rPr>
              <w:t>Stolpern, Rutschen, Stürzen im Arbeitsbereich</w:t>
            </w:r>
            <w:r w:rsidR="00601CF0">
              <w:rPr>
                <w:lang w:eastAsia="ar-SA"/>
              </w:rPr>
              <w:t xml:space="preserve">, </w:t>
            </w:r>
            <w:r w:rsidRPr="0027544C">
              <w:rPr>
                <w:lang w:eastAsia="ar-SA"/>
              </w:rPr>
              <w:t>z. B. durch den Arbeitsbereich einengende Schrottteile oder Schläuche der Brenngasversorgung, Ölverschmutzungen</w:t>
            </w:r>
          </w:p>
          <w:p w14:paraId="71188E57" w14:textId="03CBE742" w:rsidR="0027544C" w:rsidRPr="0027544C" w:rsidRDefault="0027544C" w:rsidP="008240F1">
            <w:pPr>
              <w:pStyle w:val="Listenebene1"/>
              <w:rPr>
                <w:lang w:eastAsia="ar-SA"/>
              </w:rPr>
            </w:pPr>
            <w:r w:rsidRPr="0027544C">
              <w:rPr>
                <w:lang w:eastAsia="ar-SA"/>
              </w:rPr>
              <w:t>Lärmgefährdung</w:t>
            </w:r>
            <w:r w:rsidR="00601CF0">
              <w:rPr>
                <w:lang w:eastAsia="ar-SA"/>
              </w:rPr>
              <w:t xml:space="preserve">, </w:t>
            </w:r>
            <w:r w:rsidRPr="0027544C">
              <w:rPr>
                <w:lang w:eastAsia="ar-SA"/>
              </w:rPr>
              <w:t>z. B. durch Brennergeräusche</w:t>
            </w:r>
            <w:r w:rsidR="002630B4">
              <w:rPr>
                <w:lang w:eastAsia="ar-SA"/>
              </w:rPr>
              <w:t xml:space="preserve"> und</w:t>
            </w:r>
            <w:r w:rsidRPr="0027544C">
              <w:rPr>
                <w:lang w:eastAsia="ar-SA"/>
              </w:rPr>
              <w:t xml:space="preserve"> Umgebungslärm</w:t>
            </w:r>
          </w:p>
          <w:p w14:paraId="5619929F" w14:textId="7B6CB208" w:rsidR="0027544C" w:rsidRPr="0027544C" w:rsidRDefault="00EC7A25" w:rsidP="008240F1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o</w:t>
            </w:r>
            <w:r w:rsidR="0027544C" w:rsidRPr="0027544C">
              <w:rPr>
                <w:lang w:eastAsia="ar-SA"/>
              </w:rPr>
              <w:t>ptische Strahlung</w:t>
            </w:r>
            <w:r w:rsidR="00601CF0">
              <w:rPr>
                <w:lang w:eastAsia="ar-SA"/>
              </w:rPr>
              <w:t xml:space="preserve">, </w:t>
            </w:r>
            <w:r w:rsidR="0027544C" w:rsidRPr="0027544C">
              <w:rPr>
                <w:lang w:eastAsia="ar-SA"/>
              </w:rPr>
              <w:t>z. B. durch die Brennerflamme</w:t>
            </w:r>
          </w:p>
          <w:p w14:paraId="2E1AB0B5" w14:textId="7EB8C1EC" w:rsidR="0027544C" w:rsidRPr="0027544C" w:rsidRDefault="00EC7A25" w:rsidP="008240F1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t</w:t>
            </w:r>
            <w:r w:rsidR="0027544C" w:rsidRPr="0027544C">
              <w:rPr>
                <w:lang w:eastAsia="ar-SA"/>
              </w:rPr>
              <w:t>hermische Einwirkung</w:t>
            </w:r>
            <w:r w:rsidR="00601CF0">
              <w:rPr>
                <w:lang w:eastAsia="ar-SA"/>
              </w:rPr>
              <w:t xml:space="preserve">, </w:t>
            </w:r>
            <w:r w:rsidR="0027544C" w:rsidRPr="0027544C">
              <w:rPr>
                <w:lang w:eastAsia="ar-SA"/>
              </w:rPr>
              <w:t>z. B. durch die Flamme, gebrannte Schrottteile, Schweißperlen</w:t>
            </w:r>
          </w:p>
          <w:p w14:paraId="50F9EC84" w14:textId="0B3A5C40" w:rsidR="0027544C" w:rsidRPr="0027544C" w:rsidRDefault="0027544C" w:rsidP="008240F1">
            <w:pPr>
              <w:pStyle w:val="Listenebene1"/>
              <w:rPr>
                <w:lang w:eastAsia="ar-SA"/>
              </w:rPr>
            </w:pPr>
            <w:r w:rsidRPr="0027544C">
              <w:rPr>
                <w:lang w:eastAsia="ar-SA"/>
              </w:rPr>
              <w:t>Brand durch brennbares Material im Schrott oder in der näheren Umgebung des Brennarbeitsplatzes</w:t>
            </w:r>
          </w:p>
          <w:p w14:paraId="1EF358D9" w14:textId="4DD8FCE8" w:rsidR="0027544C" w:rsidRPr="0027544C" w:rsidRDefault="0027544C" w:rsidP="008240F1">
            <w:pPr>
              <w:pStyle w:val="Listenebene1"/>
              <w:rPr>
                <w:lang w:eastAsia="ar-SA"/>
              </w:rPr>
            </w:pPr>
            <w:r w:rsidRPr="0027544C">
              <w:rPr>
                <w:lang w:eastAsia="ar-SA"/>
              </w:rPr>
              <w:t>Explosion</w:t>
            </w:r>
            <w:r w:rsidR="00EC7A25">
              <w:rPr>
                <w:lang w:eastAsia="ar-SA"/>
              </w:rPr>
              <w:t>sgefahr</w:t>
            </w:r>
            <w:r w:rsidR="00601CF0">
              <w:rPr>
                <w:lang w:eastAsia="ar-SA"/>
              </w:rPr>
              <w:t xml:space="preserve">, </w:t>
            </w:r>
            <w:r w:rsidRPr="0027544C">
              <w:rPr>
                <w:lang w:eastAsia="ar-SA"/>
              </w:rPr>
              <w:t>z. B. beim Schneiden von Hohl- und Sprengkörpern</w:t>
            </w:r>
          </w:p>
          <w:p w14:paraId="78A44EF3" w14:textId="63DF660D" w:rsidR="0027544C" w:rsidRPr="0027544C" w:rsidRDefault="00EC7A25" w:rsidP="008240F1">
            <w:pPr>
              <w:pStyle w:val="Listenebene1"/>
              <w:rPr>
                <w:lang w:eastAsia="ar-SA"/>
              </w:rPr>
            </w:pPr>
            <w:r>
              <w:rPr>
                <w:rFonts w:cs="Arial"/>
                <w:bCs/>
                <w:lang w:eastAsia="ar-SA"/>
              </w:rPr>
              <w:t>e</w:t>
            </w:r>
            <w:r w:rsidR="0027544C" w:rsidRPr="0027544C">
              <w:rPr>
                <w:rFonts w:cs="Arial"/>
                <w:bCs/>
                <w:lang w:eastAsia="ar-SA"/>
              </w:rPr>
              <w:t>lektrische Gefährdung</w:t>
            </w:r>
            <w:r w:rsidR="00DE3425">
              <w:rPr>
                <w:rFonts w:cs="Arial"/>
                <w:bCs/>
                <w:lang w:eastAsia="ar-SA"/>
              </w:rPr>
              <w:t xml:space="preserve">, </w:t>
            </w:r>
            <w:r w:rsidR="0027544C" w:rsidRPr="0027544C">
              <w:rPr>
                <w:rFonts w:cs="Arial"/>
                <w:bCs/>
                <w:lang w:eastAsia="ar-SA"/>
              </w:rPr>
              <w:t>z. B. durch schadhafte Anschlussleitungen</w:t>
            </w:r>
          </w:p>
          <w:p w14:paraId="5275C37A" w14:textId="0B86190F" w:rsidR="0027544C" w:rsidRPr="0027544C" w:rsidRDefault="0027544C" w:rsidP="002630B4">
            <w:pPr>
              <w:pStyle w:val="Listenebene1"/>
              <w:rPr>
                <w:lang w:eastAsia="ar-SA"/>
              </w:rPr>
            </w:pPr>
            <w:r w:rsidRPr="0027544C">
              <w:rPr>
                <w:lang w:eastAsia="ar-SA"/>
              </w:rPr>
              <w:t>Gefährdung durch Gefahrstoffe</w:t>
            </w:r>
            <w:r w:rsidR="00DE3425">
              <w:rPr>
                <w:lang w:eastAsia="ar-SA"/>
              </w:rPr>
              <w:t xml:space="preserve">, </w:t>
            </w:r>
            <w:r w:rsidRPr="0027544C">
              <w:rPr>
                <w:lang w:eastAsia="ar-SA"/>
              </w:rPr>
              <w:t xml:space="preserve">z. B. durch Brennschneidrauche und </w:t>
            </w:r>
            <w:r w:rsidR="00DE3425">
              <w:rPr>
                <w:lang w:eastAsia="ar-SA"/>
              </w:rPr>
              <w:t>-</w:t>
            </w:r>
            <w:r w:rsidRPr="0027544C">
              <w:rPr>
                <w:lang w:eastAsia="ar-SA"/>
              </w:rPr>
              <w:t>gase</w:t>
            </w:r>
            <w:r w:rsidR="00DE3425">
              <w:rPr>
                <w:lang w:eastAsia="ar-SA"/>
              </w:rPr>
              <w:t xml:space="preserve"> – siehe </w:t>
            </w:r>
            <w:r w:rsidRPr="00DE3425">
              <w:rPr>
                <w:lang w:eastAsia="ar-SA"/>
              </w:rPr>
              <w:t>gesonderte Betriebsanweisung nach Gefahrstoffverordnung</w:t>
            </w:r>
          </w:p>
          <w:p w14:paraId="5C1319F2" w14:textId="1EACE36F" w:rsidR="008168DD" w:rsidRDefault="00EC7A25" w:rsidP="008240F1">
            <w:pPr>
              <w:pStyle w:val="Listenebene1"/>
            </w:pPr>
            <w:r>
              <w:rPr>
                <w:rFonts w:cs="Arial"/>
                <w:bCs/>
                <w:lang w:eastAsia="ar-SA"/>
              </w:rPr>
              <w:t xml:space="preserve">Gefahren durch </w:t>
            </w:r>
            <w:r w:rsidR="00125F95">
              <w:rPr>
                <w:rFonts w:cs="Arial"/>
                <w:bCs/>
                <w:lang w:eastAsia="ar-SA"/>
              </w:rPr>
              <w:t>die</w:t>
            </w:r>
            <w:r w:rsidR="0027544C" w:rsidRPr="0027544C">
              <w:rPr>
                <w:rFonts w:cs="Arial"/>
                <w:bCs/>
                <w:lang w:eastAsia="ar-SA"/>
              </w:rPr>
              <w:t xml:space="preserve"> Arbeitsumgebung</w:t>
            </w:r>
            <w:r w:rsidR="00DE3425">
              <w:rPr>
                <w:rFonts w:cs="Arial"/>
                <w:bCs/>
                <w:lang w:eastAsia="ar-SA"/>
              </w:rPr>
              <w:t xml:space="preserve">, </w:t>
            </w:r>
            <w:r w:rsidR="0027544C" w:rsidRPr="0027544C">
              <w:rPr>
                <w:rFonts w:cs="Arial"/>
                <w:bCs/>
                <w:lang w:eastAsia="ar-SA"/>
              </w:rPr>
              <w:t xml:space="preserve">z. B. </w:t>
            </w:r>
            <w:r w:rsidR="00125F95">
              <w:rPr>
                <w:rFonts w:cs="Arial"/>
                <w:bCs/>
                <w:lang w:eastAsia="ar-SA"/>
              </w:rPr>
              <w:t xml:space="preserve">bei </w:t>
            </w:r>
            <w:r w:rsidR="0027544C" w:rsidRPr="0027544C">
              <w:rPr>
                <w:rFonts w:cs="Arial"/>
                <w:bCs/>
                <w:lang w:eastAsia="ar-SA"/>
              </w:rPr>
              <w:t>nicht angepasste</w:t>
            </w:r>
            <w:r w:rsidR="00125F95">
              <w:rPr>
                <w:rFonts w:cs="Arial"/>
                <w:bCs/>
                <w:lang w:eastAsia="ar-SA"/>
              </w:rPr>
              <w:t>n</w:t>
            </w:r>
            <w:r w:rsidR="0027544C" w:rsidRPr="0027544C">
              <w:rPr>
                <w:rFonts w:cs="Arial"/>
                <w:bCs/>
                <w:lang w:eastAsia="ar-SA"/>
              </w:rPr>
              <w:t xml:space="preserve"> Beleuchtungsverhältnisse</w:t>
            </w:r>
            <w:r w:rsidR="00125F95">
              <w:rPr>
                <w:rFonts w:cs="Arial"/>
                <w:bCs/>
                <w:lang w:eastAsia="ar-SA"/>
              </w:rPr>
              <w:t>n</w:t>
            </w:r>
          </w:p>
        </w:tc>
      </w:tr>
      <w:tr w:rsidR="00FB079F" w14:paraId="31DAFD4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699D00B" w14:textId="77777777" w:rsidR="00FB079F" w:rsidRPr="00402531" w:rsidRDefault="00FB079F" w:rsidP="00DE3425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5CF2A48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79608C3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7C6713F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33C8400" w14:textId="585B408C" w:rsidR="0027544C" w:rsidRPr="00402531" w:rsidRDefault="0027544C" w:rsidP="00DE3425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402531">
              <w:rPr>
                <w:noProof/>
              </w:rPr>
              <w:drawing>
                <wp:inline distT="0" distB="0" distL="0" distR="0" wp14:anchorId="3FC82927" wp14:editId="32F5B401">
                  <wp:extent cx="612000" cy="613226"/>
                  <wp:effectExtent l="0" t="0" r="0" b="0"/>
                  <wp:docPr id="8" name="Grafik 8" descr="Gebotszeichen „Schutzkleidung benutzen“ (M010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A56C12" w14:textId="25E73DD9" w:rsidR="0027544C" w:rsidRPr="00402531" w:rsidRDefault="0027544C" w:rsidP="00DE3425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402531">
              <w:rPr>
                <w:noProof/>
              </w:rPr>
              <w:drawing>
                <wp:inline distT="0" distB="0" distL="0" distR="0" wp14:anchorId="5D9FFFAE" wp14:editId="5E20918C">
                  <wp:extent cx="612000" cy="613226"/>
                  <wp:effectExtent l="0" t="0" r="0" b="0"/>
                  <wp:docPr id="6" name="Grafik 6" descr="Gebotszeichen „Augenschutz benutzen“ (M00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9A70D4" w14:textId="77777777" w:rsidR="0027544C" w:rsidRPr="00402531" w:rsidRDefault="0027544C" w:rsidP="00DE3425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402531">
              <w:rPr>
                <w:noProof/>
              </w:rPr>
              <w:drawing>
                <wp:inline distT="0" distB="0" distL="0" distR="0" wp14:anchorId="4375AB4B" wp14:editId="14392694">
                  <wp:extent cx="612000" cy="613226"/>
                  <wp:effectExtent l="0" t="0" r="0" b="0"/>
                  <wp:docPr id="14" name="Grafik 14" descr="Gebotszeichen „Gehörschutz benutzen“ (M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1F8481" w14:textId="77777777" w:rsidR="0027544C" w:rsidRPr="00402531" w:rsidRDefault="0027544C" w:rsidP="00DE3425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402531">
              <w:rPr>
                <w:noProof/>
              </w:rPr>
              <w:drawing>
                <wp:inline distT="0" distB="0" distL="0" distR="0" wp14:anchorId="40FD0DEC" wp14:editId="470BF751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6CF5D1" w14:textId="152B118C" w:rsidR="0027544C" w:rsidRPr="00402531" w:rsidRDefault="0027544C" w:rsidP="00DE3425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402531">
              <w:rPr>
                <w:noProof/>
              </w:rPr>
              <w:drawing>
                <wp:inline distT="0" distB="0" distL="0" distR="0" wp14:anchorId="304CE2AE" wp14:editId="10A0F73E">
                  <wp:extent cx="612000" cy="613226"/>
                  <wp:effectExtent l="0" t="0" r="0" b="0"/>
                  <wp:docPr id="7" name="Grafik 7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976F13F" w14:textId="77777777" w:rsidR="0027544C" w:rsidRPr="0027544C" w:rsidRDefault="0027544C" w:rsidP="008240F1">
            <w:pPr>
              <w:pStyle w:val="Listenebene1"/>
              <w:rPr>
                <w:lang w:eastAsia="ar-SA"/>
              </w:rPr>
            </w:pPr>
            <w:r w:rsidRPr="0027544C">
              <w:rPr>
                <w:lang w:eastAsia="ar-SA"/>
              </w:rPr>
              <w:t>Schrottteile beim Schneiden stabilisieren und gegen Um- und Herabfallen sichern</w:t>
            </w:r>
          </w:p>
          <w:p w14:paraId="5311D254" w14:textId="105DE849" w:rsidR="0027544C" w:rsidRPr="0027544C" w:rsidRDefault="008240F1" w:rsidP="008240F1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f</w:t>
            </w:r>
            <w:r w:rsidR="0027544C" w:rsidRPr="0027544C">
              <w:rPr>
                <w:lang w:eastAsia="ar-SA"/>
              </w:rPr>
              <w:t>ür ausreichend großen und standsicheren Arbeitsbereich sorgen</w:t>
            </w:r>
          </w:p>
          <w:p w14:paraId="6DBED58D" w14:textId="56B09CAD" w:rsidR="0027544C" w:rsidRPr="0027544C" w:rsidRDefault="008240F1" w:rsidP="008240F1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v</w:t>
            </w:r>
            <w:r w:rsidR="0027544C" w:rsidRPr="0027544C">
              <w:rPr>
                <w:lang w:eastAsia="ar-SA"/>
              </w:rPr>
              <w:t>or dem Brennen von Hohlkörpern:</w:t>
            </w:r>
          </w:p>
          <w:p w14:paraId="4D1377C9" w14:textId="7E3DE5E9" w:rsidR="0027544C" w:rsidRPr="0027544C" w:rsidRDefault="0027544C" w:rsidP="008240F1">
            <w:pPr>
              <w:pStyle w:val="Listenebene2"/>
              <w:rPr>
                <w:lang w:eastAsia="ar-SA"/>
              </w:rPr>
            </w:pPr>
            <w:r w:rsidRPr="0027544C">
              <w:rPr>
                <w:lang w:eastAsia="ar-SA"/>
              </w:rPr>
              <w:t>Anweisungen</w:t>
            </w:r>
            <w:r w:rsidR="00DE3425">
              <w:rPr>
                <w:lang w:eastAsia="ar-SA"/>
              </w:rPr>
              <w:t xml:space="preserve">, </w:t>
            </w:r>
            <w:r w:rsidRPr="0027544C">
              <w:rPr>
                <w:lang w:eastAsia="ar-SA"/>
              </w:rPr>
              <w:t>z. B. im Freigabeschein</w:t>
            </w:r>
            <w:r w:rsidR="00DE3425">
              <w:rPr>
                <w:lang w:eastAsia="ar-SA"/>
              </w:rPr>
              <w:t>,</w:t>
            </w:r>
            <w:r w:rsidRPr="0027544C">
              <w:rPr>
                <w:lang w:eastAsia="ar-SA"/>
              </w:rPr>
              <w:t xml:space="preserve"> beachten</w:t>
            </w:r>
          </w:p>
          <w:p w14:paraId="7EE733B5" w14:textId="367C8184" w:rsidR="0027544C" w:rsidRPr="0027544C" w:rsidRDefault="0027544C" w:rsidP="008240F1">
            <w:pPr>
              <w:pStyle w:val="Listenebene2"/>
              <w:rPr>
                <w:lang w:eastAsia="ar-SA"/>
              </w:rPr>
            </w:pPr>
            <w:r w:rsidRPr="0027544C">
              <w:rPr>
                <w:lang w:eastAsia="ar-SA"/>
              </w:rPr>
              <w:t>Entlastungsöffnungen ohne Gefährdung</w:t>
            </w:r>
            <w:r w:rsidR="002630B4">
              <w:rPr>
                <w:lang w:eastAsia="ar-SA"/>
              </w:rPr>
              <w:t xml:space="preserve"> wie z. B. </w:t>
            </w:r>
            <w:r w:rsidRPr="0027544C">
              <w:rPr>
                <w:lang w:eastAsia="ar-SA"/>
              </w:rPr>
              <w:t>Wärmeeinwirkung anbringen</w:t>
            </w:r>
          </w:p>
          <w:p w14:paraId="06B790DB" w14:textId="77777777" w:rsidR="0027544C" w:rsidRPr="0027544C" w:rsidRDefault="0027544C" w:rsidP="008240F1">
            <w:pPr>
              <w:pStyle w:val="Listenebene2"/>
              <w:rPr>
                <w:lang w:eastAsia="ar-SA"/>
              </w:rPr>
            </w:pPr>
            <w:r w:rsidRPr="0027544C">
              <w:rPr>
                <w:lang w:eastAsia="ar-SA"/>
              </w:rPr>
              <w:t>Fachfirma beauftragen, wenn erforderlich</w:t>
            </w:r>
          </w:p>
          <w:p w14:paraId="78F07E7D" w14:textId="77777777" w:rsidR="0027544C" w:rsidRPr="0027544C" w:rsidRDefault="0027544C" w:rsidP="008240F1">
            <w:pPr>
              <w:pStyle w:val="Listenebene1"/>
              <w:rPr>
                <w:lang w:eastAsia="ar-SA"/>
              </w:rPr>
            </w:pPr>
            <w:r w:rsidRPr="0027544C">
              <w:rPr>
                <w:lang w:eastAsia="ar-SA"/>
              </w:rPr>
              <w:t>Gasflaschen gegen Umfallen sichern</w:t>
            </w:r>
          </w:p>
          <w:p w14:paraId="3D317A92" w14:textId="75D1EC32" w:rsidR="0027544C" w:rsidRPr="0027544C" w:rsidRDefault="0027544C" w:rsidP="008240F1">
            <w:pPr>
              <w:pStyle w:val="Listenebene1"/>
              <w:rPr>
                <w:lang w:eastAsia="ar-SA"/>
              </w:rPr>
            </w:pPr>
            <w:r w:rsidRPr="0027544C">
              <w:rPr>
                <w:lang w:eastAsia="ar-SA"/>
              </w:rPr>
              <w:t>Gasflaschen und Schläuche vor Beschädigungen</w:t>
            </w:r>
            <w:r w:rsidR="00DE3425">
              <w:rPr>
                <w:lang w:eastAsia="ar-SA"/>
              </w:rPr>
              <w:t>,</w:t>
            </w:r>
            <w:r w:rsidRPr="0027544C">
              <w:rPr>
                <w:lang w:eastAsia="ar-SA"/>
              </w:rPr>
              <w:t xml:space="preserve"> z. B. bei mechanischer oder thermischer Einwirkung</w:t>
            </w:r>
            <w:r w:rsidR="00DE3425">
              <w:rPr>
                <w:lang w:eastAsia="ar-SA"/>
              </w:rPr>
              <w:t>,</w:t>
            </w:r>
            <w:r w:rsidRPr="0027544C">
              <w:rPr>
                <w:lang w:eastAsia="ar-SA"/>
              </w:rPr>
              <w:t xml:space="preserve"> schützen</w:t>
            </w:r>
          </w:p>
          <w:p w14:paraId="35AF384B" w14:textId="77777777" w:rsidR="0027544C" w:rsidRPr="0027544C" w:rsidRDefault="0027544C" w:rsidP="008240F1">
            <w:pPr>
              <w:pStyle w:val="Listenebene1"/>
              <w:rPr>
                <w:lang w:eastAsia="ar-SA"/>
              </w:rPr>
            </w:pPr>
            <w:r w:rsidRPr="0027544C">
              <w:rPr>
                <w:lang w:eastAsia="ar-SA"/>
              </w:rPr>
              <w:t>Schrottteile, Arbeitsplatz und -umgebung frei von brennbaren Materialien halten</w:t>
            </w:r>
          </w:p>
          <w:p w14:paraId="1E0F6280" w14:textId="2D90E6AD" w:rsidR="0027544C" w:rsidRPr="0027544C" w:rsidRDefault="008240F1" w:rsidP="008240F1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m</w:t>
            </w:r>
            <w:r w:rsidR="0027544C" w:rsidRPr="0027544C">
              <w:rPr>
                <w:lang w:eastAsia="ar-SA"/>
              </w:rPr>
              <w:t>it Sauerstoff in Berührung kommende Einrichtungen frei von öl- und fetthaltigen Stoffen halten</w:t>
            </w:r>
          </w:p>
          <w:p w14:paraId="4F428664" w14:textId="5FECA378" w:rsidR="0027544C" w:rsidRPr="0027544C" w:rsidRDefault="008240F1" w:rsidP="008240F1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b</w:t>
            </w:r>
            <w:r w:rsidR="0027544C" w:rsidRPr="0027544C">
              <w:rPr>
                <w:lang w:eastAsia="ar-SA"/>
              </w:rPr>
              <w:t>ei Schäden an Teilen der Gasversorgung</w:t>
            </w:r>
            <w:r w:rsidR="00DE3425">
              <w:rPr>
                <w:lang w:eastAsia="ar-SA"/>
              </w:rPr>
              <w:t xml:space="preserve">, </w:t>
            </w:r>
            <w:r w:rsidR="0027544C" w:rsidRPr="0027544C">
              <w:rPr>
                <w:lang w:eastAsia="ar-SA"/>
              </w:rPr>
              <w:t>z. B. defekte Armaturen</w:t>
            </w:r>
            <w:r w:rsidR="002630B4">
              <w:rPr>
                <w:lang w:eastAsia="ar-SA"/>
              </w:rPr>
              <w:t xml:space="preserve"> und</w:t>
            </w:r>
            <w:r w:rsidR="0027544C" w:rsidRPr="0027544C">
              <w:rPr>
                <w:lang w:eastAsia="ar-SA"/>
              </w:rPr>
              <w:t xml:space="preserve"> poröse</w:t>
            </w:r>
            <w:r w:rsidR="002630B4">
              <w:rPr>
                <w:lang w:eastAsia="ar-SA"/>
              </w:rPr>
              <w:t>n</w:t>
            </w:r>
            <w:r w:rsidR="0027544C" w:rsidRPr="0027544C">
              <w:rPr>
                <w:lang w:eastAsia="ar-SA"/>
              </w:rPr>
              <w:t xml:space="preserve"> Schläuche</w:t>
            </w:r>
            <w:r w:rsidR="002630B4">
              <w:rPr>
                <w:lang w:eastAsia="ar-SA"/>
              </w:rPr>
              <w:t>n</w:t>
            </w:r>
            <w:r w:rsidR="00DE3425">
              <w:rPr>
                <w:lang w:eastAsia="ar-SA"/>
              </w:rPr>
              <w:t>,</w:t>
            </w:r>
            <w:r w:rsidR="0027544C" w:rsidRPr="0027544C">
              <w:rPr>
                <w:lang w:eastAsia="ar-SA"/>
              </w:rPr>
              <w:t xml:space="preserve"> Arbeit einstellen und </w:t>
            </w:r>
            <w:r w:rsidR="002630B4">
              <w:rPr>
                <w:lang w:eastAsia="ar-SA"/>
              </w:rPr>
              <w:t>A</w:t>
            </w:r>
            <w:r w:rsidR="0027544C" w:rsidRPr="0027544C">
              <w:rPr>
                <w:lang w:eastAsia="ar-SA"/>
              </w:rPr>
              <w:t>ufsichtsführende</w:t>
            </w:r>
            <w:r w:rsidR="002630B4">
              <w:rPr>
                <w:lang w:eastAsia="ar-SA"/>
              </w:rPr>
              <w:t xml:space="preserve"> </w:t>
            </w:r>
            <w:r w:rsidR="0027544C" w:rsidRPr="0027544C">
              <w:rPr>
                <w:lang w:eastAsia="ar-SA"/>
              </w:rPr>
              <w:t>informieren</w:t>
            </w:r>
          </w:p>
          <w:p w14:paraId="6333EC0F" w14:textId="77777777" w:rsidR="00C063F1" w:rsidRPr="0027544C" w:rsidRDefault="00C063F1" w:rsidP="00C063F1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b</w:t>
            </w:r>
            <w:r w:rsidRPr="0027544C">
              <w:rPr>
                <w:lang w:eastAsia="ar-SA"/>
              </w:rPr>
              <w:t>eim Zünden zuerst das Sauerstoff- und danach das Brenngasventil öffnen</w:t>
            </w:r>
          </w:p>
          <w:p w14:paraId="59F3E027" w14:textId="77777777" w:rsidR="00C063F1" w:rsidRPr="0027544C" w:rsidRDefault="00C063F1" w:rsidP="00C063F1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g</w:t>
            </w:r>
            <w:r w:rsidRPr="0027544C">
              <w:rPr>
                <w:lang w:eastAsia="ar-SA"/>
              </w:rPr>
              <w:t>eeignete Gasanzünder verwenden</w:t>
            </w:r>
            <w:r>
              <w:rPr>
                <w:lang w:eastAsia="ar-SA"/>
              </w:rPr>
              <w:t xml:space="preserve"> – </w:t>
            </w:r>
            <w:r w:rsidRPr="0027544C">
              <w:rPr>
                <w:lang w:eastAsia="ar-SA"/>
              </w:rPr>
              <w:t>keine Streichhölzer oder Feuerzeuge</w:t>
            </w:r>
          </w:p>
          <w:p w14:paraId="6850F4F7" w14:textId="05489CDE" w:rsidR="0027544C" w:rsidRPr="0027544C" w:rsidRDefault="0027544C" w:rsidP="002630B4">
            <w:pPr>
              <w:pStyle w:val="Listenebene1"/>
              <w:rPr>
                <w:lang w:eastAsia="ar-SA"/>
              </w:rPr>
            </w:pPr>
            <w:r w:rsidRPr="0027544C">
              <w:rPr>
                <w:lang w:eastAsia="ar-SA"/>
              </w:rPr>
              <w:t>Flaschenventile bei Arbeitsunterbrechungen schließen</w:t>
            </w:r>
            <w:r w:rsidR="002630B4">
              <w:rPr>
                <w:lang w:eastAsia="ar-SA"/>
              </w:rPr>
              <w:t xml:space="preserve"> – </w:t>
            </w:r>
            <w:r w:rsidR="008240F1">
              <w:rPr>
                <w:lang w:eastAsia="ar-SA"/>
              </w:rPr>
              <w:t>b</w:t>
            </w:r>
            <w:r w:rsidRPr="0027544C">
              <w:rPr>
                <w:lang w:eastAsia="ar-SA"/>
              </w:rPr>
              <w:t>eim Schließen zuerst das Brenngas- und danach das Sauerstoffventil schließen</w:t>
            </w:r>
          </w:p>
          <w:p w14:paraId="1E66A773" w14:textId="33FE8D6B" w:rsidR="0027544C" w:rsidRPr="0027544C" w:rsidRDefault="008240F1" w:rsidP="008240F1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k</w:t>
            </w:r>
            <w:r w:rsidR="0027544C" w:rsidRPr="0027544C">
              <w:rPr>
                <w:lang w:eastAsia="ar-SA"/>
              </w:rPr>
              <w:t>ein</w:t>
            </w:r>
            <w:r w:rsidR="002630B4">
              <w:rPr>
                <w:lang w:eastAsia="ar-SA"/>
              </w:rPr>
              <w:t>e</w:t>
            </w:r>
            <w:r w:rsidR="0027544C" w:rsidRPr="0027544C">
              <w:rPr>
                <w:lang w:eastAsia="ar-SA"/>
              </w:rPr>
              <w:t xml:space="preserve"> Schrottteile mit entzündlichen Anhaftungen</w:t>
            </w:r>
            <w:r w:rsidR="002630B4">
              <w:rPr>
                <w:lang w:eastAsia="ar-SA"/>
              </w:rPr>
              <w:t xml:space="preserve"> brennen</w:t>
            </w:r>
            <w:r w:rsidR="00DE3425">
              <w:rPr>
                <w:lang w:eastAsia="ar-SA"/>
              </w:rPr>
              <w:t xml:space="preserve">, </w:t>
            </w:r>
            <w:r w:rsidR="002630B4">
              <w:rPr>
                <w:lang w:eastAsia="ar-SA"/>
              </w:rPr>
              <w:t xml:space="preserve">wie </w:t>
            </w:r>
            <w:r w:rsidR="0027544C" w:rsidRPr="0027544C">
              <w:rPr>
                <w:lang w:eastAsia="ar-SA"/>
              </w:rPr>
              <w:t>z. B. Anstriche</w:t>
            </w:r>
            <w:r w:rsidR="002630B4">
              <w:rPr>
                <w:lang w:eastAsia="ar-SA"/>
              </w:rPr>
              <w:t xml:space="preserve"> und</w:t>
            </w:r>
            <w:r w:rsidR="0027544C" w:rsidRPr="0027544C">
              <w:rPr>
                <w:lang w:eastAsia="ar-SA"/>
              </w:rPr>
              <w:t xml:space="preserve"> Umhüllungen</w:t>
            </w:r>
          </w:p>
          <w:p w14:paraId="2E1F28A5" w14:textId="357644D8" w:rsidR="008168DD" w:rsidRDefault="0027544C" w:rsidP="008240F1">
            <w:pPr>
              <w:pStyle w:val="Listenebene1"/>
            </w:pPr>
            <w:r w:rsidRPr="0027544C">
              <w:rPr>
                <w:lang w:eastAsia="ar-SA"/>
              </w:rPr>
              <w:t>Persönliche Schutzausrüstung benutzen</w:t>
            </w:r>
            <w:r w:rsidR="00DE3425">
              <w:rPr>
                <w:lang w:eastAsia="ar-SA"/>
              </w:rPr>
              <w:t xml:space="preserve">, </w:t>
            </w:r>
            <w:r w:rsidR="002630B4">
              <w:rPr>
                <w:lang w:eastAsia="ar-SA"/>
              </w:rPr>
              <w:t>insbesondere</w:t>
            </w:r>
            <w:r w:rsidRPr="0027544C">
              <w:rPr>
                <w:lang w:eastAsia="ar-SA"/>
              </w:rPr>
              <w:t xml:space="preserve"> Sicherheitsschuhe, Schutzkleidung, Schutzhandschuhe, Augenschutz</w:t>
            </w:r>
            <w:r w:rsidR="002630B4">
              <w:rPr>
                <w:lang w:eastAsia="ar-SA"/>
              </w:rPr>
              <w:t xml:space="preserve"> und</w:t>
            </w:r>
            <w:r w:rsidRPr="0027544C">
              <w:rPr>
                <w:lang w:eastAsia="ar-SA"/>
              </w:rPr>
              <w:t xml:space="preserve"> Gehörschutz</w:t>
            </w:r>
          </w:p>
        </w:tc>
      </w:tr>
      <w:tr w:rsidR="00F12127" w14:paraId="74E4CA8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976A6C8" w14:textId="77777777" w:rsidR="00FB079F" w:rsidRPr="00451D53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7E9006C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0C23129" w14:textId="77777777" w:rsidR="00FB079F" w:rsidRDefault="00FB079F" w:rsidP="00F11D9D">
            <w:pPr>
              <w:pStyle w:val="berschrift1"/>
            </w:pPr>
          </w:p>
        </w:tc>
      </w:tr>
      <w:tr w:rsidR="009D7F7C" w14:paraId="65659ED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0C713F4" w14:textId="5B7DF642" w:rsidR="009D7F7C" w:rsidRPr="007D22D7" w:rsidRDefault="0027544C" w:rsidP="007D22D7">
            <w:pPr>
              <w:spacing w:after="20"/>
              <w:jc w:val="center"/>
              <w:rPr>
                <w:i/>
                <w:iCs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A5D3080" wp14:editId="713D6B50">
                  <wp:extent cx="612000" cy="610776"/>
                  <wp:effectExtent l="0" t="0" r="0" b="0"/>
                  <wp:docPr id="10" name="Grafik 10" descr="Brandschutzzeichen „Feuerlöscher“ (F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0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192122B" w14:textId="3CBB03A2" w:rsidR="0027544C" w:rsidRPr="0027544C" w:rsidRDefault="008240F1" w:rsidP="0027544C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b</w:t>
            </w:r>
            <w:r w:rsidR="0027544C" w:rsidRPr="0027544C">
              <w:rPr>
                <w:lang w:eastAsia="ar-SA"/>
              </w:rPr>
              <w:t xml:space="preserve">ei Störungen und Schäden an Brennschneideinrichtungen Arbeiten einstellen und </w:t>
            </w:r>
            <w:proofErr w:type="spellStart"/>
            <w:r w:rsidR="00C063F1">
              <w:t>aufsichtsführende</w:t>
            </w:r>
            <w:proofErr w:type="spellEnd"/>
            <w:r w:rsidR="00C063F1">
              <w:t xml:space="preserve"> Person</w:t>
            </w:r>
            <w:r w:rsidR="002630B4">
              <w:t xml:space="preserve"> informieren</w:t>
            </w:r>
          </w:p>
          <w:p w14:paraId="755C8AE5" w14:textId="77777777" w:rsidR="0027544C" w:rsidRDefault="008240F1" w:rsidP="0027544C">
            <w:pPr>
              <w:pStyle w:val="Listenebene1"/>
            </w:pPr>
            <w:r>
              <w:rPr>
                <w:lang w:eastAsia="ar-SA"/>
              </w:rPr>
              <w:t>i</w:t>
            </w:r>
            <w:r w:rsidR="0027544C" w:rsidRPr="0027544C">
              <w:rPr>
                <w:lang w:eastAsia="ar-SA"/>
              </w:rPr>
              <w:t>m Brandfall</w:t>
            </w:r>
            <w:r w:rsidR="002630B4">
              <w:rPr>
                <w:lang w:eastAsia="ar-SA"/>
              </w:rPr>
              <w:t>:</w:t>
            </w:r>
            <w:r w:rsidR="0027544C" w:rsidRPr="0027544C">
              <w:rPr>
                <w:lang w:eastAsia="ar-SA"/>
              </w:rPr>
              <w:t xml:space="preserve"> sofort Flaschenventile schließen, Brand nur bei ausreichender Eigensicherheit durch hierfür unterwiesene </w:t>
            </w:r>
            <w:r w:rsidR="002630B4">
              <w:rPr>
                <w:lang w:eastAsia="ar-SA"/>
              </w:rPr>
              <w:t>Beschäftigte bekämpfen lassen</w:t>
            </w:r>
          </w:p>
          <w:p w14:paraId="005559E0" w14:textId="6B440506" w:rsidR="00C063F1" w:rsidRDefault="00C063F1" w:rsidP="0027544C">
            <w:pPr>
              <w:pStyle w:val="Listenebene1"/>
            </w:pPr>
            <w:r>
              <w:t>Führungskraft (Name) informieren (Telefonnummer)</w:t>
            </w:r>
          </w:p>
        </w:tc>
      </w:tr>
      <w:tr w:rsidR="009D7F7C" w14:paraId="52556867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68CA935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5D441019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172A719E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0E0A023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193257D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21DCE775" wp14:editId="32A83B49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511FFBA" w14:textId="77777777" w:rsidR="0008036B" w:rsidRDefault="007142AD" w:rsidP="0027544C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4E8C822C" w14:textId="18B7A452" w:rsidR="007142AD" w:rsidRDefault="0008036B" w:rsidP="0027544C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BC241D">
              <w:t xml:space="preserve"> ist</w:t>
            </w:r>
            <w:r w:rsidR="00F06650">
              <w:t xml:space="preserve"> wo</w:t>
            </w:r>
            <w:r w:rsidR="00BC241D">
              <w:t>?</w:t>
            </w:r>
            <w:r w:rsidR="00F06650">
              <w:t>)</w:t>
            </w:r>
          </w:p>
          <w:p w14:paraId="7F6AB8B5" w14:textId="77777777" w:rsidR="007142AD" w:rsidRDefault="007142AD" w:rsidP="0027544C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3C3CF915" w14:textId="77777777" w:rsidR="007142AD" w:rsidRDefault="00F06650" w:rsidP="0027544C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0A2C61E4" w14:textId="550F41FF" w:rsidR="009D7F7C" w:rsidRDefault="00E53728" w:rsidP="0027544C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2034D5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2034D5">
              <w:t xml:space="preserve"> (Was?)</w:t>
            </w:r>
          </w:p>
          <w:p w14:paraId="63B41156" w14:textId="34F7B5E4" w:rsidR="0027544C" w:rsidRDefault="00AD0AE3" w:rsidP="002034D5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2F09C1C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1038FA9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0AB0927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C8B174C" w14:textId="77777777" w:rsidR="009D7F7C" w:rsidRDefault="009D7F7C" w:rsidP="00F11D9D">
            <w:pPr>
              <w:pStyle w:val="berschrift1"/>
            </w:pPr>
          </w:p>
        </w:tc>
      </w:tr>
      <w:tr w:rsidR="008822F8" w14:paraId="561367A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245CFE23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1E8E59B0" w14:textId="72CD8851" w:rsidR="008822F8" w:rsidRPr="008822F8" w:rsidRDefault="00CC4FEA" w:rsidP="00F62515">
            <w:pPr>
              <w:pStyle w:val="Listenebene1"/>
            </w:pPr>
            <w:r>
              <w:t>Instandhaltungsarbeiten nur im dafür vorgesehenen Umfang und von hierzu beauftragten, fachkundigen Personen durchführen lassen</w:t>
            </w:r>
          </w:p>
        </w:tc>
      </w:tr>
    </w:tbl>
    <w:p w14:paraId="417CBD79" w14:textId="77777777" w:rsidR="000D5C63" w:rsidRDefault="00C82C24" w:rsidP="00357BA4">
      <w:r>
        <w:t>Datum, Unterschrift</w:t>
      </w:r>
    </w:p>
    <w:p w14:paraId="697DA731" w14:textId="77777777" w:rsidR="00C82C24" w:rsidRDefault="00C82C24" w:rsidP="00357BA4"/>
    <w:p w14:paraId="1483F3A5" w14:textId="77777777" w:rsidR="00C82C24" w:rsidRPr="00F11D9D" w:rsidRDefault="00C82C24" w:rsidP="00C82C24">
      <w:pPr>
        <w:jc w:val="center"/>
      </w:pPr>
      <w:r w:rsidRPr="00C82C24">
        <w:lastRenderedPageBreak/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99D8" w14:textId="77777777" w:rsidR="00562523" w:rsidRDefault="00562523" w:rsidP="005C4990">
      <w:r>
        <w:separator/>
      </w:r>
    </w:p>
  </w:endnote>
  <w:endnote w:type="continuationSeparator" w:id="0">
    <w:p w14:paraId="4D4FD5EB" w14:textId="77777777" w:rsidR="00562523" w:rsidRDefault="00562523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01BF" w14:textId="77777777" w:rsidR="00562523" w:rsidRDefault="00562523" w:rsidP="005C4990">
      <w:r>
        <w:separator/>
      </w:r>
    </w:p>
  </w:footnote>
  <w:footnote w:type="continuationSeparator" w:id="0">
    <w:p w14:paraId="3DAF029C" w14:textId="77777777" w:rsidR="00562523" w:rsidRDefault="00562523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BBB"/>
    <w:multiLevelType w:val="hybridMultilevel"/>
    <w:tmpl w:val="F7784610"/>
    <w:lvl w:ilvl="0" w:tplc="9BAC8C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15B0"/>
    <w:multiLevelType w:val="hybridMultilevel"/>
    <w:tmpl w:val="9098C4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22F1"/>
    <w:multiLevelType w:val="hybridMultilevel"/>
    <w:tmpl w:val="69ECF714"/>
    <w:lvl w:ilvl="0" w:tplc="9BAC8C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C5C63"/>
    <w:multiLevelType w:val="hybridMultilevel"/>
    <w:tmpl w:val="B866BE70"/>
    <w:lvl w:ilvl="0" w:tplc="9BAC8C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9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45FE3"/>
    <w:multiLevelType w:val="hybridMultilevel"/>
    <w:tmpl w:val="B866BE70"/>
    <w:lvl w:ilvl="0" w:tplc="CD92001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4166E"/>
    <w:multiLevelType w:val="hybridMultilevel"/>
    <w:tmpl w:val="3DD6C804"/>
    <w:lvl w:ilvl="0" w:tplc="CD92001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6"/>
  </w:num>
  <w:num w:numId="4">
    <w:abstractNumId w:val="45"/>
  </w:num>
  <w:num w:numId="5">
    <w:abstractNumId w:val="40"/>
  </w:num>
  <w:num w:numId="6">
    <w:abstractNumId w:val="7"/>
  </w:num>
  <w:num w:numId="7">
    <w:abstractNumId w:val="22"/>
  </w:num>
  <w:num w:numId="8">
    <w:abstractNumId w:val="1"/>
  </w:num>
  <w:num w:numId="9">
    <w:abstractNumId w:val="16"/>
  </w:num>
  <w:num w:numId="10">
    <w:abstractNumId w:val="25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30"/>
  </w:num>
  <w:num w:numId="14">
    <w:abstractNumId w:val="29"/>
  </w:num>
  <w:num w:numId="15">
    <w:abstractNumId w:val="23"/>
  </w:num>
  <w:num w:numId="16">
    <w:abstractNumId w:val="33"/>
  </w:num>
  <w:num w:numId="17">
    <w:abstractNumId w:val="17"/>
  </w:num>
  <w:num w:numId="18">
    <w:abstractNumId w:val="19"/>
  </w:num>
  <w:num w:numId="19">
    <w:abstractNumId w:val="14"/>
  </w:num>
  <w:num w:numId="20">
    <w:abstractNumId w:val="28"/>
  </w:num>
  <w:num w:numId="21">
    <w:abstractNumId w:val="11"/>
  </w:num>
  <w:num w:numId="22">
    <w:abstractNumId w:val="5"/>
  </w:num>
  <w:num w:numId="23">
    <w:abstractNumId w:val="31"/>
  </w:num>
  <w:num w:numId="24">
    <w:abstractNumId w:val="3"/>
  </w:num>
  <w:num w:numId="25">
    <w:abstractNumId w:val="32"/>
  </w:num>
  <w:num w:numId="26">
    <w:abstractNumId w:val="38"/>
  </w:num>
  <w:num w:numId="27">
    <w:abstractNumId w:val="35"/>
  </w:num>
  <w:num w:numId="28">
    <w:abstractNumId w:val="12"/>
  </w:num>
  <w:num w:numId="29">
    <w:abstractNumId w:val="44"/>
  </w:num>
  <w:num w:numId="30">
    <w:abstractNumId w:val="18"/>
  </w:num>
  <w:num w:numId="31">
    <w:abstractNumId w:val="15"/>
  </w:num>
  <w:num w:numId="32">
    <w:abstractNumId w:val="37"/>
  </w:num>
  <w:num w:numId="33">
    <w:abstractNumId w:val="34"/>
  </w:num>
  <w:num w:numId="34">
    <w:abstractNumId w:val="26"/>
  </w:num>
  <w:num w:numId="35">
    <w:abstractNumId w:val="27"/>
  </w:num>
  <w:num w:numId="36">
    <w:abstractNumId w:val="43"/>
  </w:num>
  <w:num w:numId="37">
    <w:abstractNumId w:val="42"/>
  </w:num>
  <w:num w:numId="38">
    <w:abstractNumId w:val="13"/>
  </w:num>
  <w:num w:numId="39">
    <w:abstractNumId w:val="6"/>
  </w:num>
  <w:num w:numId="40">
    <w:abstractNumId w:val="24"/>
  </w:num>
  <w:num w:numId="41">
    <w:abstractNumId w:val="20"/>
  </w:num>
  <w:num w:numId="42">
    <w:abstractNumId w:val="8"/>
  </w:num>
  <w:num w:numId="43">
    <w:abstractNumId w:val="4"/>
  </w:num>
  <w:num w:numId="44">
    <w:abstractNumId w:val="0"/>
  </w:num>
  <w:num w:numId="45">
    <w:abstractNumId w:val="2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0D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5E81"/>
    <w:rsid w:val="00116FE4"/>
    <w:rsid w:val="001207AD"/>
    <w:rsid w:val="001213D2"/>
    <w:rsid w:val="00125F95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34D5"/>
    <w:rsid w:val="00207C33"/>
    <w:rsid w:val="0021028C"/>
    <w:rsid w:val="00212BCA"/>
    <w:rsid w:val="00214700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630B4"/>
    <w:rsid w:val="00271A97"/>
    <w:rsid w:val="0027544C"/>
    <w:rsid w:val="00275C99"/>
    <w:rsid w:val="00280E0D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B661F"/>
    <w:rsid w:val="003D3697"/>
    <w:rsid w:val="003E2BFE"/>
    <w:rsid w:val="003E358E"/>
    <w:rsid w:val="003E65AF"/>
    <w:rsid w:val="003F1A4B"/>
    <w:rsid w:val="003F1EA8"/>
    <w:rsid w:val="003F2A0D"/>
    <w:rsid w:val="003F695E"/>
    <w:rsid w:val="00402531"/>
    <w:rsid w:val="00402AFC"/>
    <w:rsid w:val="00405AEF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62523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5F47E0"/>
    <w:rsid w:val="00601CF0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4A4D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470F"/>
    <w:rsid w:val="00806729"/>
    <w:rsid w:val="00806E03"/>
    <w:rsid w:val="00812725"/>
    <w:rsid w:val="008168DD"/>
    <w:rsid w:val="00816D6B"/>
    <w:rsid w:val="00822D9C"/>
    <w:rsid w:val="008240F1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30BD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54218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02A9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241D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3F1"/>
    <w:rsid w:val="00C06BB1"/>
    <w:rsid w:val="00C11020"/>
    <w:rsid w:val="00C315B7"/>
    <w:rsid w:val="00C354F0"/>
    <w:rsid w:val="00C35FDC"/>
    <w:rsid w:val="00C41755"/>
    <w:rsid w:val="00C703DA"/>
    <w:rsid w:val="00C72326"/>
    <w:rsid w:val="00C76C62"/>
    <w:rsid w:val="00C82C24"/>
    <w:rsid w:val="00C93FB9"/>
    <w:rsid w:val="00C956C5"/>
    <w:rsid w:val="00CA4EC6"/>
    <w:rsid w:val="00CC140B"/>
    <w:rsid w:val="00CC4FEA"/>
    <w:rsid w:val="00CD246E"/>
    <w:rsid w:val="00CE09E1"/>
    <w:rsid w:val="00CE2CFE"/>
    <w:rsid w:val="00CF0632"/>
    <w:rsid w:val="00CF0877"/>
    <w:rsid w:val="00D156B0"/>
    <w:rsid w:val="00D33160"/>
    <w:rsid w:val="00D421DD"/>
    <w:rsid w:val="00D43633"/>
    <w:rsid w:val="00D5423E"/>
    <w:rsid w:val="00D563C8"/>
    <w:rsid w:val="00D776D9"/>
    <w:rsid w:val="00D92536"/>
    <w:rsid w:val="00D95804"/>
    <w:rsid w:val="00DA7BF2"/>
    <w:rsid w:val="00DB49FD"/>
    <w:rsid w:val="00DB4E4A"/>
    <w:rsid w:val="00DB702F"/>
    <w:rsid w:val="00DD58D8"/>
    <w:rsid w:val="00DE3425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C7A25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222644"/>
  <w15:docId w15:val="{6C1C32FA-412B-4EC4-B36A-208E81F2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E42C5-1BA2-4AB7-8EB7-16933824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4-3 - Brennschneiden im Schrotthandel - Muster-Betriebsanweisung</vt:lpstr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4-3 - Brennschneiden im Schrotthandel - Muster-Betriebsanweisung</dc:title>
  <dc:creator>Berufsgenossenschaft Handel und Warenlogistik (BGHW)</dc:creator>
  <cp:lastModifiedBy>Richarz, Saskia</cp:lastModifiedBy>
  <cp:revision>23</cp:revision>
  <cp:lastPrinted>2024-07-19T05:45:00Z</cp:lastPrinted>
  <dcterms:created xsi:type="dcterms:W3CDTF">2024-08-29T13:25:00Z</dcterms:created>
  <dcterms:modified xsi:type="dcterms:W3CDTF">2026-03-27T03:41:00Z</dcterms:modified>
</cp:coreProperties>
</file>