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A4F91B5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201FAE15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A6627C1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C1005EF" w14:textId="5ED71746" w:rsidR="00BF3102" w:rsidRPr="00BF3102" w:rsidRDefault="00B3169E" w:rsidP="00BF3102">
            <w:pPr>
              <w:pStyle w:val="Titel"/>
            </w:pPr>
            <w:r>
              <w:t xml:space="preserve">Manuelle Zerlegung von Bildschirm- </w:t>
            </w:r>
            <w:r w:rsidR="00A11321">
              <w:t xml:space="preserve">und </w:t>
            </w:r>
            <w:r w:rsidR="0050235C">
              <w:t xml:space="preserve">anderen </w:t>
            </w:r>
            <w:r>
              <w:t>Elektrokleingeräten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DC06E2D" w14:textId="69BB23B5" w:rsidR="00FB079F" w:rsidRDefault="00FB079F" w:rsidP="00F11D9D">
            <w:pPr>
              <w:jc w:val="right"/>
            </w:pPr>
            <w:r>
              <w:t>Stand: TT.MM.</w:t>
            </w:r>
            <w:r w:rsidR="00847BF1">
              <w:t>JJJJ</w:t>
            </w:r>
          </w:p>
        </w:tc>
      </w:tr>
      <w:tr w:rsidR="00FB079F" w14:paraId="03043E3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995B309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F02116C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D633C12" w14:textId="77777777" w:rsidR="00FB079F" w:rsidRDefault="00FB079F" w:rsidP="00F11D9D">
            <w:pPr>
              <w:pStyle w:val="berschrift1"/>
            </w:pPr>
          </w:p>
        </w:tc>
      </w:tr>
      <w:tr w:rsidR="008168DD" w14:paraId="253C5969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54D4200B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68DE3231" w14:textId="46D2A898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A11321">
              <w:t xml:space="preserve"> </w:t>
            </w:r>
            <w:r w:rsidR="00A11321">
              <w:rPr>
                <w:bCs/>
              </w:rPr>
              <w:t>Schrotthandel</w:t>
            </w:r>
          </w:p>
          <w:p w14:paraId="2F387DBC" w14:textId="12A840C6" w:rsidR="008168DD" w:rsidRPr="00F11D9D" w:rsidRDefault="008168DD" w:rsidP="00B3169E">
            <w:r w:rsidRPr="00F11D9D">
              <w:t>Tätigkeit</w:t>
            </w:r>
            <w:r w:rsidR="0008036B">
              <w:t>:</w:t>
            </w:r>
            <w:r w:rsidR="00B3169E">
              <w:t xml:space="preserve"> M</w:t>
            </w:r>
            <w:r w:rsidR="00B3169E" w:rsidRPr="004C0DF2">
              <w:rPr>
                <w:bCs/>
              </w:rPr>
              <w:t>anuelle Zerlegung von Bildschirm- und anderen Elektrokleingeräten</w:t>
            </w:r>
          </w:p>
        </w:tc>
      </w:tr>
      <w:tr w:rsidR="00FB079F" w14:paraId="130E264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73EC8E5" w14:textId="77777777" w:rsidR="00FB079F" w:rsidRPr="00B06862" w:rsidRDefault="00FB079F" w:rsidP="0062775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EADB20F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894E47B" w14:textId="77777777" w:rsidR="00FB079F" w:rsidRDefault="00FB079F" w:rsidP="00F11D9D">
            <w:pPr>
              <w:pStyle w:val="berschrift1"/>
            </w:pPr>
          </w:p>
        </w:tc>
      </w:tr>
      <w:tr w:rsidR="008168DD" w14:paraId="1988456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C2501F9" w14:textId="77777777" w:rsidR="008168DD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0522A84E" wp14:editId="1D9F7A5A">
                  <wp:extent cx="612000" cy="536112"/>
                  <wp:effectExtent l="0" t="0" r="0" b="0"/>
                  <wp:docPr id="8" name="Grafik 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F45DE" w14:textId="77777777" w:rsidR="00B3169E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3EC66657" wp14:editId="5C50F7F6">
                  <wp:extent cx="612000" cy="536112"/>
                  <wp:effectExtent l="0" t="0" r="0" b="0"/>
                  <wp:docPr id="3" name="Grafik 3" descr="Warnzeichen „Warnung vor explosionsgefährlichen Stoffen“ (W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0E011" w14:textId="67B63E58" w:rsidR="00B3169E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55829CD8" wp14:editId="0EC7F35F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6DE5103" w14:textId="558EC0AC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s</w:t>
            </w:r>
            <w:r w:rsidRPr="00B3169E">
              <w:rPr>
                <w:lang w:eastAsia="de-DE"/>
              </w:rPr>
              <w:t>ich schneiden oder stechen insbesondere an Händen, Armen und Füßen durch scharfkantige Geräteteile oder Scherben</w:t>
            </w:r>
          </w:p>
          <w:p w14:paraId="19D6864E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Quetschen der Hände, Arme und Füße beim Bewegen größerer Altgeräte</w:t>
            </w:r>
          </w:p>
          <w:p w14:paraId="55EB2A3D" w14:textId="3AD8C788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 xml:space="preserve">Stolpern, </w:t>
            </w:r>
            <w:r w:rsidR="0026237C">
              <w:rPr>
                <w:lang w:eastAsia="de-DE"/>
              </w:rPr>
              <w:t>S</w:t>
            </w:r>
            <w:r w:rsidRPr="00B3169E">
              <w:rPr>
                <w:lang w:eastAsia="de-DE"/>
              </w:rPr>
              <w:t xml:space="preserve">türzen und </w:t>
            </w:r>
            <w:r w:rsidR="0026237C">
              <w:rPr>
                <w:lang w:eastAsia="de-DE"/>
              </w:rPr>
              <w:t>A</w:t>
            </w:r>
            <w:r w:rsidRPr="00B3169E">
              <w:rPr>
                <w:lang w:eastAsia="de-DE"/>
              </w:rPr>
              <w:t>usrutschen durch umherliegende/-stehende Geräte oder Teile oder verstellte Verkehrswege</w:t>
            </w:r>
          </w:p>
          <w:p w14:paraId="39C04013" w14:textId="05401B9F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e</w:t>
            </w:r>
            <w:r w:rsidRPr="00B3169E">
              <w:rPr>
                <w:lang w:eastAsia="de-DE"/>
              </w:rPr>
              <w:t xml:space="preserve">lektrische </w:t>
            </w:r>
            <w:proofErr w:type="spellStart"/>
            <w:r w:rsidRPr="00B3169E">
              <w:rPr>
                <w:lang w:eastAsia="de-DE"/>
              </w:rPr>
              <w:t>Körperdurchströmung</w:t>
            </w:r>
            <w:proofErr w:type="spellEnd"/>
            <w:r w:rsidRPr="00B3169E">
              <w:rPr>
                <w:lang w:eastAsia="de-DE"/>
              </w:rPr>
              <w:t>, z. B. beim Einsatz elektrisch betriebener Handmaschinen</w:t>
            </w:r>
          </w:p>
          <w:p w14:paraId="1F66F18B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Getroffen werden von unkontrolliert wegspringenden oder zerberstenden Geräteteilen</w:t>
            </w:r>
          </w:p>
          <w:p w14:paraId="4B4D36C4" w14:textId="23D2C4F2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 xml:space="preserve">Hörschäden durch Lärm </w:t>
            </w:r>
            <w:r w:rsidR="009D61EF" w:rsidRPr="00B3169E">
              <w:rPr>
                <w:lang w:eastAsia="de-DE"/>
              </w:rPr>
              <w:t xml:space="preserve">bei Demontagearbeiten </w:t>
            </w:r>
            <w:r w:rsidR="009D61EF">
              <w:rPr>
                <w:lang w:eastAsia="de-DE"/>
              </w:rPr>
              <w:t xml:space="preserve">oder </w:t>
            </w:r>
            <w:r w:rsidRPr="00B3169E">
              <w:rPr>
                <w:lang w:eastAsia="de-DE"/>
              </w:rPr>
              <w:t>beim Werfen von Teilen oder Geräten</w:t>
            </w:r>
          </w:p>
          <w:p w14:paraId="6C3ACBCD" w14:textId="5EE3D720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Gesundheitsschäden durch Hautkontakt mit oder Einatmen von Gefahrstoffen und Stäuben, die beim Zerlegen der Geräte freigesetzt werden, z. B. Quecksilber, Cadmium, Blei</w:t>
            </w:r>
            <w:r w:rsidR="009D61EF">
              <w:rPr>
                <w:lang w:eastAsia="de-DE"/>
              </w:rPr>
              <w:t xml:space="preserve"> oder</w:t>
            </w:r>
            <w:r w:rsidRPr="00B3169E">
              <w:rPr>
                <w:lang w:eastAsia="de-DE"/>
              </w:rPr>
              <w:t xml:space="preserve"> Nickel</w:t>
            </w:r>
          </w:p>
          <w:p w14:paraId="0B60BEE6" w14:textId="26A96612" w:rsidR="008168DD" w:rsidRDefault="00B3169E" w:rsidP="00B3169E">
            <w:pPr>
              <w:pStyle w:val="Listenebene1"/>
            </w:pPr>
            <w:r w:rsidRPr="00B3169E">
              <w:rPr>
                <w:lang w:eastAsia="ar-SA"/>
              </w:rPr>
              <w:t>Überlastung des Bewegungsapparats durch häufige Hebevorgänge</w:t>
            </w:r>
          </w:p>
        </w:tc>
      </w:tr>
      <w:tr w:rsidR="00FB079F" w14:paraId="3423629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BDBAE67" w14:textId="77777777" w:rsidR="00FB079F" w:rsidRPr="00B06862" w:rsidRDefault="00FB079F" w:rsidP="0062775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5BE766A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6D1A7EA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3BB767C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7F0EA71" w14:textId="77777777" w:rsidR="008168DD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00E55EB6" wp14:editId="7A6F26B5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8B560" w14:textId="77777777" w:rsidR="00B3169E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060C21BB" wp14:editId="1A76B450">
                  <wp:extent cx="612000" cy="613226"/>
                  <wp:effectExtent l="0" t="0" r="0" b="0"/>
                  <wp:docPr id="6" name="Grafik 6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47A5C" w14:textId="77777777" w:rsidR="00B3169E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532DE046" wp14:editId="2201ACC8">
                  <wp:extent cx="612000" cy="613226"/>
                  <wp:effectExtent l="0" t="0" r="0" b="0"/>
                  <wp:docPr id="5" name="Grafik 5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B2CB9" w14:textId="77777777" w:rsidR="00B3169E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5F7D66E7" wp14:editId="68E19737">
                  <wp:extent cx="612000" cy="612000"/>
                  <wp:effectExtent l="0" t="0" r="0" b="0"/>
                  <wp:docPr id="22" name="Grafik 22" descr="Verbotszeichen „Essen und Trinken verboten“ (P02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9C46E5" w14:textId="60CC7987" w:rsidR="00B3169E" w:rsidRPr="00B06862" w:rsidRDefault="00B3169E" w:rsidP="00627756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06862">
              <w:rPr>
                <w:noProof/>
              </w:rPr>
              <w:drawing>
                <wp:inline distT="0" distB="0" distL="0" distR="0" wp14:anchorId="1F5F0F34" wp14:editId="6D5A3FD2">
                  <wp:extent cx="612000" cy="536112"/>
                  <wp:effectExtent l="0" t="0" r="0" b="0"/>
                  <wp:docPr id="27" name="Grafik 27" descr="Warnzeichen „Warnung vor giftigen Stoffen“ (W01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948F1FA" w14:textId="7AB1FEF3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f</w:t>
            </w:r>
            <w:r w:rsidRPr="00B3169E">
              <w:rPr>
                <w:lang w:eastAsia="de-DE"/>
              </w:rPr>
              <w:t>ür ausreichende Beleuchtung sorgen</w:t>
            </w:r>
          </w:p>
          <w:p w14:paraId="4E77C8FB" w14:textId="1362A16E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B3169E">
              <w:rPr>
                <w:lang w:eastAsia="de-DE"/>
              </w:rPr>
              <w:t>ur geeignete und geprüfte Werkzeuge und Handmaschinen benutzen</w:t>
            </w:r>
          </w:p>
          <w:p w14:paraId="646611C2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Geräte und abgebaute Geräteteile nicht werfen</w:t>
            </w:r>
          </w:p>
          <w:p w14:paraId="3AC431BE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Verkehrs-, Arbeits- und Bewegungsflächen freihalten</w:t>
            </w:r>
          </w:p>
          <w:p w14:paraId="13B51FF1" w14:textId="1EF29A93" w:rsidR="00B3169E" w:rsidRPr="00B3169E" w:rsidRDefault="0026237C" w:rsidP="00B3169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z</w:t>
            </w:r>
            <w:r w:rsidR="00B3169E" w:rsidRPr="00B3169E">
              <w:rPr>
                <w:lang w:eastAsia="de-DE"/>
              </w:rPr>
              <w:t>erstörungsfrei demontieren und Hämmer nur im Ausnahmefall einsetzen</w:t>
            </w:r>
          </w:p>
          <w:p w14:paraId="269712D4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Straßen- und Arbeitskleidung getrennt aufbewahren</w:t>
            </w:r>
          </w:p>
          <w:p w14:paraId="0CBA244A" w14:textId="346BB82E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B3169E">
              <w:rPr>
                <w:lang w:eastAsia="de-DE"/>
              </w:rPr>
              <w:t>m Arbeitsplatz nicht essen oder trinken</w:t>
            </w:r>
          </w:p>
          <w:p w14:paraId="5C0ED31E" w14:textId="74F7E288" w:rsidR="00B3169E" w:rsidRPr="00B3169E" w:rsidRDefault="009D61EF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 xml:space="preserve">wegen möglicher Staubaufwirbelung </w:t>
            </w:r>
            <w:r w:rsidR="00B3169E">
              <w:rPr>
                <w:lang w:eastAsia="de-DE"/>
              </w:rPr>
              <w:t>k</w:t>
            </w:r>
            <w:r w:rsidR="00B3169E" w:rsidRPr="00B3169E">
              <w:rPr>
                <w:lang w:eastAsia="de-DE"/>
              </w:rPr>
              <w:t>eine pneumatisch betriebenen Schrauber einsetzen</w:t>
            </w:r>
          </w:p>
          <w:p w14:paraId="3FC6147E" w14:textId="68E7A1B6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Staubablagerungen nicht abblasen; nur mit staubbindenden Mitteln</w:t>
            </w:r>
            <w:r w:rsidR="00B06862">
              <w:rPr>
                <w:lang w:eastAsia="de-DE"/>
              </w:rPr>
              <w:t xml:space="preserve"> kehren</w:t>
            </w:r>
          </w:p>
          <w:p w14:paraId="2D0D0383" w14:textId="111E603E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 xml:space="preserve">Arbeitsplätze mindestens einmal täglich mit Industriestaubsauger </w:t>
            </w:r>
            <w:r w:rsidR="00B06862">
              <w:rPr>
                <w:lang w:eastAsia="de-DE"/>
              </w:rPr>
              <w:t xml:space="preserve">der </w:t>
            </w:r>
            <w:r w:rsidRPr="00B3169E">
              <w:rPr>
                <w:lang w:eastAsia="de-DE"/>
              </w:rPr>
              <w:t>Kategorie H absaugen</w:t>
            </w:r>
          </w:p>
          <w:p w14:paraId="674C74FB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Gase und Dämpfe an der Entstehungsstelle absaugen und gefahrstoffhaltige Bauteile nach dem Ausbau in verschließbaren Kunststoffbehältern lagern</w:t>
            </w:r>
          </w:p>
          <w:p w14:paraId="7B30AA74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Hebe- und Transporthilfen benutzen</w:t>
            </w:r>
          </w:p>
          <w:p w14:paraId="15082C37" w14:textId="697FBE30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 xml:space="preserve">Persönliche Schutzausrüstung entsprechend </w:t>
            </w:r>
            <w:r w:rsidR="00B06862">
              <w:rPr>
                <w:lang w:eastAsia="de-DE"/>
              </w:rPr>
              <w:t xml:space="preserve">der </w:t>
            </w:r>
            <w:r w:rsidRPr="00B3169E">
              <w:rPr>
                <w:lang w:eastAsia="de-DE"/>
              </w:rPr>
              <w:t>Gefährdungsbeurteilung benutzen</w:t>
            </w:r>
          </w:p>
          <w:p w14:paraId="7594E80F" w14:textId="77777777" w:rsidR="00B3169E" w:rsidRPr="00B3169E" w:rsidRDefault="00B3169E" w:rsidP="00645E99">
            <w:pPr>
              <w:spacing w:before="120"/>
              <w:rPr>
                <w:lang w:eastAsia="de-DE"/>
              </w:rPr>
            </w:pPr>
            <w:r w:rsidRPr="00B3169E">
              <w:rPr>
                <w:lang w:eastAsia="de-DE"/>
              </w:rPr>
              <w:t>Beim Umgang mit quecksilberhaltigen Leuchtmitteln ist zusätzlich zu beachten:</w:t>
            </w:r>
          </w:p>
          <w:p w14:paraId="6C977C7C" w14:textId="78DCA18F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Arbeiten nur an Arbeitspl</w:t>
            </w:r>
            <w:r w:rsidR="00B06862">
              <w:rPr>
                <w:lang w:eastAsia="de-DE"/>
              </w:rPr>
              <w:t>ä</w:t>
            </w:r>
            <w:r w:rsidRPr="00B3169E">
              <w:rPr>
                <w:lang w:eastAsia="de-DE"/>
              </w:rPr>
              <w:t>tz</w:t>
            </w:r>
            <w:r w:rsidR="00B06862">
              <w:rPr>
                <w:lang w:eastAsia="de-DE"/>
              </w:rPr>
              <w:t>en</w:t>
            </w:r>
            <w:r w:rsidRPr="00B3169E">
              <w:rPr>
                <w:lang w:eastAsia="de-DE"/>
              </w:rPr>
              <w:t xml:space="preserve"> mit technischer Lüftung ausführen</w:t>
            </w:r>
          </w:p>
          <w:p w14:paraId="0A8F96C3" w14:textId="7463688F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Aktivkohlefilter regelmäßig warten, rechtzeitig austauschen und ordnungsgemäß entsorgen</w:t>
            </w:r>
            <w:r w:rsidR="0026237C">
              <w:rPr>
                <w:lang w:eastAsia="de-DE"/>
              </w:rPr>
              <w:t>;</w:t>
            </w:r>
            <w:r w:rsidRPr="00B3169E">
              <w:rPr>
                <w:lang w:eastAsia="de-DE"/>
              </w:rPr>
              <w:t xml:space="preserve"> Anzeige für die Überschreitung der Beladekapazität beachten</w:t>
            </w:r>
          </w:p>
          <w:p w14:paraId="4197781A" w14:textId="53A0D364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z</w:t>
            </w:r>
            <w:r w:rsidRPr="00B3169E">
              <w:rPr>
                <w:lang w:eastAsia="de-DE"/>
              </w:rPr>
              <w:t>erbrochene Beleuchtungsröhren ausschließlich in gekennzeichneten und verschließbaren Behältern lagern</w:t>
            </w:r>
          </w:p>
          <w:p w14:paraId="6AE75F4D" w14:textId="77777777" w:rsidR="00B3169E" w:rsidRPr="00B3169E" w:rsidRDefault="00B3169E" w:rsidP="00B3169E">
            <w:pPr>
              <w:pStyle w:val="Listenebene1"/>
              <w:rPr>
                <w:lang w:eastAsia="de-DE"/>
              </w:rPr>
            </w:pPr>
            <w:r w:rsidRPr="00B3169E">
              <w:rPr>
                <w:lang w:eastAsia="de-DE"/>
              </w:rPr>
              <w:t>Glasbruch mit Kehrbesen und -schaufel aufnehmen und in speziellen Behältern lagern</w:t>
            </w:r>
          </w:p>
          <w:p w14:paraId="175890CB" w14:textId="493FEF5A" w:rsidR="008168DD" w:rsidRDefault="00B3169E" w:rsidP="00B3169E">
            <w:pPr>
              <w:pStyle w:val="Listenebene1"/>
            </w:pPr>
            <w:r w:rsidRPr="00B3169E">
              <w:rPr>
                <w:lang w:eastAsia="ar-SA"/>
              </w:rPr>
              <w:t>Kehrbesen und -schaufeln ausschließlich für diesen Zweck verwenden und entsprechend kennzeichnen</w:t>
            </w:r>
          </w:p>
        </w:tc>
      </w:tr>
      <w:tr w:rsidR="00F12127" w14:paraId="7A42C1B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6161C30" w14:textId="77777777" w:rsidR="00FB079F" w:rsidRPr="00B06862" w:rsidRDefault="00FB079F" w:rsidP="0062775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9440274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11EEBA3" w14:textId="77777777" w:rsidR="00FB079F" w:rsidRDefault="00FB079F" w:rsidP="00F11D9D">
            <w:pPr>
              <w:pStyle w:val="berschrift1"/>
            </w:pPr>
          </w:p>
        </w:tc>
      </w:tr>
      <w:tr w:rsidR="009D7F7C" w14:paraId="3845797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77F2289" w14:textId="00E4878F" w:rsidR="009D7F7C" w:rsidRPr="00B06862" w:rsidRDefault="009D7F7C" w:rsidP="00627756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35CC02E" w14:textId="266EB261" w:rsidR="00B3169E" w:rsidRDefault="00B3169E" w:rsidP="00A11321">
            <w:pPr>
              <w:pStyle w:val="Listenebene1"/>
            </w:pPr>
            <w:r w:rsidRPr="00A4548D">
              <w:rPr>
                <w:szCs w:val="22"/>
              </w:rPr>
              <w:t>Störungen im Betriebsablauf und Schäden an Betriebseinrichtungen</w:t>
            </w:r>
            <w:r w:rsidR="00B06862">
              <w:rPr>
                <w:szCs w:val="22"/>
              </w:rPr>
              <w:t xml:space="preserve">, wie </w:t>
            </w:r>
            <w:r w:rsidRPr="00A4548D">
              <w:rPr>
                <w:szCs w:val="22"/>
              </w:rPr>
              <w:t>z. B. fehlende oder defekte Werkzeuge</w:t>
            </w:r>
            <w:r w:rsidR="00B06862">
              <w:rPr>
                <w:szCs w:val="22"/>
              </w:rPr>
              <w:t xml:space="preserve"> oder</w:t>
            </w:r>
            <w:r w:rsidRPr="00A4548D">
              <w:rPr>
                <w:szCs w:val="22"/>
              </w:rPr>
              <w:t xml:space="preserve"> Absaugung</w:t>
            </w:r>
            <w:r w:rsidR="00B06862">
              <w:rPr>
                <w:szCs w:val="22"/>
              </w:rPr>
              <w:t>,</w:t>
            </w:r>
            <w:r w:rsidRPr="00A4548D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der </w:t>
            </w:r>
            <w:r>
              <w:t>Führungskraft (Name) melden (Telefonnummer)</w:t>
            </w:r>
          </w:p>
        </w:tc>
      </w:tr>
      <w:tr w:rsidR="009D7F7C" w14:paraId="146225B9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C5141B0" w14:textId="77777777" w:rsidR="009D7F7C" w:rsidRPr="00B06862" w:rsidRDefault="009D7F7C" w:rsidP="00627756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3451E204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4588E91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0516E6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44DE3E8" w14:textId="77777777" w:rsidR="009D7F7C" w:rsidRPr="00F11D9D" w:rsidRDefault="008D58F7" w:rsidP="00627756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B24DFBC" wp14:editId="30A81E44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B2CE984" w14:textId="77777777" w:rsidR="0008036B" w:rsidRDefault="007142AD" w:rsidP="00B3169E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55072333" w14:textId="77777777" w:rsidR="007142AD" w:rsidRDefault="0008036B" w:rsidP="00B3169E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0DDE48DA" w14:textId="77777777" w:rsidR="007142AD" w:rsidRDefault="007142AD" w:rsidP="00B3169E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239D8733" w14:textId="77777777" w:rsidR="007142AD" w:rsidRDefault="00F06650" w:rsidP="00B3169E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6D586540" w14:textId="1AB78AD2" w:rsidR="009D7F7C" w:rsidRDefault="00E53728" w:rsidP="00B3169E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627756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627756">
              <w:t xml:space="preserve"> (Was?)</w:t>
            </w:r>
          </w:p>
          <w:p w14:paraId="73312B27" w14:textId="6F757ECA" w:rsidR="00B3169E" w:rsidRDefault="00AD0AE3" w:rsidP="009F1BB6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5525582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F0458C8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4CEA675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6D49A03" w14:textId="77777777" w:rsidR="009D7F7C" w:rsidRDefault="009D7F7C" w:rsidP="00F11D9D">
            <w:pPr>
              <w:pStyle w:val="berschrift1"/>
            </w:pPr>
          </w:p>
        </w:tc>
      </w:tr>
      <w:tr w:rsidR="008822F8" w14:paraId="76B0FA9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14B4B68E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73CC10E4" w14:textId="7FF6B71E" w:rsidR="008822F8" w:rsidRPr="008822F8" w:rsidRDefault="00645E99" w:rsidP="00B3169E">
            <w:pPr>
              <w:pStyle w:val="Listenebene1"/>
            </w:pPr>
            <w:r>
              <w:t>Instandhaltungsarbeiten nur im dafür vorgesehenen Umfang und von hierzu beauftragten, fachkundigen Personen durchführen lassen</w:t>
            </w:r>
          </w:p>
        </w:tc>
      </w:tr>
    </w:tbl>
    <w:p w14:paraId="7E89F46D" w14:textId="77777777" w:rsidR="000D5C63" w:rsidRDefault="00C82C24" w:rsidP="00357BA4">
      <w:r>
        <w:t>Datum, Unterschrift</w:t>
      </w:r>
    </w:p>
    <w:p w14:paraId="0D72F2C3" w14:textId="77777777" w:rsidR="00C82C24" w:rsidRDefault="00C82C24" w:rsidP="00357BA4"/>
    <w:p w14:paraId="0DD7CB61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CECC" w14:textId="77777777" w:rsidR="007566C1" w:rsidRDefault="007566C1" w:rsidP="005C4990">
      <w:r>
        <w:separator/>
      </w:r>
    </w:p>
  </w:endnote>
  <w:endnote w:type="continuationSeparator" w:id="0">
    <w:p w14:paraId="3D7E2BC6" w14:textId="77777777" w:rsidR="007566C1" w:rsidRDefault="007566C1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14CD" w14:textId="77777777" w:rsidR="007566C1" w:rsidRDefault="007566C1" w:rsidP="005C4990">
      <w:r>
        <w:separator/>
      </w:r>
    </w:p>
  </w:footnote>
  <w:footnote w:type="continuationSeparator" w:id="0">
    <w:p w14:paraId="67C2349F" w14:textId="77777777" w:rsidR="007566C1" w:rsidRDefault="007566C1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F0745"/>
    <w:multiLevelType w:val="hybridMultilevel"/>
    <w:tmpl w:val="F7F28B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14043">
    <w:abstractNumId w:val="6"/>
  </w:num>
  <w:num w:numId="2" w16cid:durableId="659892524">
    <w:abstractNumId w:val="5"/>
  </w:num>
  <w:num w:numId="3" w16cid:durableId="1454901148">
    <w:abstractNumId w:val="31"/>
  </w:num>
  <w:num w:numId="4" w16cid:durableId="1305040265">
    <w:abstractNumId w:val="40"/>
  </w:num>
  <w:num w:numId="5" w16cid:durableId="1234046808">
    <w:abstractNumId w:val="35"/>
  </w:num>
  <w:num w:numId="6" w16cid:durableId="676735790">
    <w:abstractNumId w:val="4"/>
  </w:num>
  <w:num w:numId="7" w16cid:durableId="2032296641">
    <w:abstractNumId w:val="16"/>
  </w:num>
  <w:num w:numId="8" w16cid:durableId="1171723833">
    <w:abstractNumId w:val="0"/>
  </w:num>
  <w:num w:numId="9" w16cid:durableId="681014539">
    <w:abstractNumId w:val="12"/>
  </w:num>
  <w:num w:numId="10" w16cid:durableId="782191087">
    <w:abstractNumId w:val="19"/>
  </w:num>
  <w:num w:numId="11" w16cid:durableId="911726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6460168">
    <w:abstractNumId w:val="34"/>
  </w:num>
  <w:num w:numId="13" w16cid:durableId="1918828549">
    <w:abstractNumId w:val="24"/>
  </w:num>
  <w:num w:numId="14" w16cid:durableId="316805365">
    <w:abstractNumId w:val="23"/>
  </w:num>
  <w:num w:numId="15" w16cid:durableId="1146970927">
    <w:abstractNumId w:val="17"/>
  </w:num>
  <w:num w:numId="16" w16cid:durableId="1415009787">
    <w:abstractNumId w:val="28"/>
  </w:num>
  <w:num w:numId="17" w16cid:durableId="820733775">
    <w:abstractNumId w:val="13"/>
  </w:num>
  <w:num w:numId="18" w16cid:durableId="858349585">
    <w:abstractNumId w:val="15"/>
  </w:num>
  <w:num w:numId="19" w16cid:durableId="959847693">
    <w:abstractNumId w:val="10"/>
  </w:num>
  <w:num w:numId="20" w16cid:durableId="1028334119">
    <w:abstractNumId w:val="22"/>
  </w:num>
  <w:num w:numId="21" w16cid:durableId="1681201177">
    <w:abstractNumId w:val="7"/>
  </w:num>
  <w:num w:numId="22" w16cid:durableId="1580754855">
    <w:abstractNumId w:val="2"/>
  </w:num>
  <w:num w:numId="23" w16cid:durableId="2075664569">
    <w:abstractNumId w:val="26"/>
  </w:num>
  <w:num w:numId="24" w16cid:durableId="2084913575">
    <w:abstractNumId w:val="1"/>
  </w:num>
  <w:num w:numId="25" w16cid:durableId="331181408">
    <w:abstractNumId w:val="27"/>
  </w:num>
  <w:num w:numId="26" w16cid:durableId="194851439">
    <w:abstractNumId w:val="33"/>
  </w:num>
  <w:num w:numId="27" w16cid:durableId="1556743815">
    <w:abstractNumId w:val="30"/>
  </w:num>
  <w:num w:numId="28" w16cid:durableId="1033504838">
    <w:abstractNumId w:val="8"/>
  </w:num>
  <w:num w:numId="29" w16cid:durableId="426776336">
    <w:abstractNumId w:val="39"/>
  </w:num>
  <w:num w:numId="30" w16cid:durableId="2133400242">
    <w:abstractNumId w:val="14"/>
  </w:num>
  <w:num w:numId="31" w16cid:durableId="225916098">
    <w:abstractNumId w:val="11"/>
  </w:num>
  <w:num w:numId="32" w16cid:durableId="1199973053">
    <w:abstractNumId w:val="32"/>
  </w:num>
  <w:num w:numId="33" w16cid:durableId="125589096">
    <w:abstractNumId w:val="29"/>
  </w:num>
  <w:num w:numId="34" w16cid:durableId="213083093">
    <w:abstractNumId w:val="20"/>
  </w:num>
  <w:num w:numId="35" w16cid:durableId="1889415671">
    <w:abstractNumId w:val="21"/>
  </w:num>
  <w:num w:numId="36" w16cid:durableId="689067595">
    <w:abstractNumId w:val="38"/>
  </w:num>
  <w:num w:numId="37" w16cid:durableId="1646660094">
    <w:abstractNumId w:val="37"/>
  </w:num>
  <w:num w:numId="38" w16cid:durableId="630673092">
    <w:abstractNumId w:val="9"/>
  </w:num>
  <w:num w:numId="39" w16cid:durableId="2038383502">
    <w:abstractNumId w:val="3"/>
  </w:num>
  <w:num w:numId="40" w16cid:durableId="730540002">
    <w:abstractNumId w:val="18"/>
  </w:num>
  <w:num w:numId="41" w16cid:durableId="14852006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9C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2037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C7EB0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6237C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76F13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35C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27756"/>
    <w:rsid w:val="00632360"/>
    <w:rsid w:val="00633F25"/>
    <w:rsid w:val="0063621C"/>
    <w:rsid w:val="00636339"/>
    <w:rsid w:val="0064577C"/>
    <w:rsid w:val="00645E99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566C1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47BF1"/>
    <w:rsid w:val="00857472"/>
    <w:rsid w:val="0086520A"/>
    <w:rsid w:val="008673BD"/>
    <w:rsid w:val="0087072C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0E11"/>
    <w:rsid w:val="00992976"/>
    <w:rsid w:val="00993354"/>
    <w:rsid w:val="00995E1B"/>
    <w:rsid w:val="009B1173"/>
    <w:rsid w:val="009B1257"/>
    <w:rsid w:val="009B2584"/>
    <w:rsid w:val="009C285C"/>
    <w:rsid w:val="009D169C"/>
    <w:rsid w:val="009D61EF"/>
    <w:rsid w:val="009D7F7C"/>
    <w:rsid w:val="009E1A66"/>
    <w:rsid w:val="009E1A68"/>
    <w:rsid w:val="009F0404"/>
    <w:rsid w:val="009F1BB6"/>
    <w:rsid w:val="009F7C97"/>
    <w:rsid w:val="00A0737C"/>
    <w:rsid w:val="00A07F74"/>
    <w:rsid w:val="00A11321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06862"/>
    <w:rsid w:val="00B11337"/>
    <w:rsid w:val="00B16296"/>
    <w:rsid w:val="00B17E05"/>
    <w:rsid w:val="00B17E93"/>
    <w:rsid w:val="00B24511"/>
    <w:rsid w:val="00B3169E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A27FD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1603"/>
    <w:rsid w:val="00CE2CFE"/>
    <w:rsid w:val="00CF0877"/>
    <w:rsid w:val="00D156B0"/>
    <w:rsid w:val="00D21B1F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884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71A631"/>
  <w15:docId w15:val="{86B2BB74-0097-4B48-94F0-93CF5772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E0CD-CBFB-43FA-8922-6CAEEB37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4-23 - Manuelle Zerlegung von Bildschirm- und anderen Elektrokleingeräten - Muster-Betriebsanweisung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4-23 - Manuelle Zerlegung von Bildschirm- und anderen Elektrokleingeräten - Muster-Betriebsanweisung</dc:title>
  <dc:creator>Berufsgenossenschaft Handel und Warenlogistik (BGHW)</dc:creator>
  <cp:lastModifiedBy>Richarz, Saskia</cp:lastModifiedBy>
  <cp:revision>15</cp:revision>
  <cp:lastPrinted>2024-07-19T05:45:00Z</cp:lastPrinted>
  <dcterms:created xsi:type="dcterms:W3CDTF">2024-09-09T07:03:00Z</dcterms:created>
  <dcterms:modified xsi:type="dcterms:W3CDTF">2026-03-28T06:09:00Z</dcterms:modified>
</cp:coreProperties>
</file>