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7983D989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68807258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22AF869E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42CC1D69" w14:textId="19A0AC31" w:rsidR="00BF3102" w:rsidRPr="00BF3102" w:rsidRDefault="0028268A" w:rsidP="00BF3102">
            <w:pPr>
              <w:pStyle w:val="Titel"/>
            </w:pPr>
            <w:r>
              <w:t>Persönliche Schutzausrüstung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2B911FF6" w14:textId="1D174F9C" w:rsidR="00FB079F" w:rsidRDefault="00FB079F" w:rsidP="00F11D9D">
            <w:pPr>
              <w:jc w:val="right"/>
            </w:pPr>
            <w:r>
              <w:t>Stand: TT.MM.</w:t>
            </w:r>
            <w:r w:rsidR="00534C2F">
              <w:t>JJJJ</w:t>
            </w:r>
          </w:p>
        </w:tc>
      </w:tr>
      <w:tr w:rsidR="00FB079F" w14:paraId="5A7CEDD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23D4D50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4CBC950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8F6ADF8" w14:textId="77777777" w:rsidR="00FB079F" w:rsidRDefault="00FB079F" w:rsidP="00F11D9D">
            <w:pPr>
              <w:pStyle w:val="berschrift1"/>
            </w:pPr>
          </w:p>
        </w:tc>
      </w:tr>
      <w:tr w:rsidR="008168DD" w14:paraId="1486F85D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05BE3146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6C74F2D0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5D941218" w14:textId="7BDF6E2D" w:rsidR="008168DD" w:rsidRPr="00F11D9D" w:rsidRDefault="008168DD" w:rsidP="00CB05BF">
            <w:r w:rsidRPr="00F11D9D">
              <w:t>Tätigkeit</w:t>
            </w:r>
            <w:r w:rsidR="0008036B">
              <w:t>:</w:t>
            </w:r>
            <w:r w:rsidR="00CB05BF">
              <w:t xml:space="preserve"> </w:t>
            </w:r>
            <w:r w:rsidR="00CB05BF" w:rsidRPr="009B16FB">
              <w:t xml:space="preserve">Umgang mit </w:t>
            </w:r>
            <w:r w:rsidR="0028268A">
              <w:t>P</w:t>
            </w:r>
            <w:r w:rsidR="00CB05BF" w:rsidRPr="009B16FB">
              <w:t xml:space="preserve">ersönlicher Schutzausrüstung </w:t>
            </w:r>
            <w:r w:rsidR="0028268A">
              <w:t xml:space="preserve">(PSA) </w:t>
            </w:r>
            <w:r w:rsidR="00CB05BF" w:rsidRPr="009B16FB">
              <w:t>allgemein</w:t>
            </w:r>
          </w:p>
        </w:tc>
      </w:tr>
      <w:tr w:rsidR="00FB079F" w14:paraId="0056EBC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8F2D2DE" w14:textId="77777777" w:rsidR="00FB079F" w:rsidRPr="00A731EC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6904246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74B5709" w14:textId="77777777" w:rsidR="00FB079F" w:rsidRDefault="00FB079F" w:rsidP="00F11D9D">
            <w:pPr>
              <w:pStyle w:val="berschrift1"/>
            </w:pPr>
          </w:p>
        </w:tc>
      </w:tr>
      <w:tr w:rsidR="008168DD" w14:paraId="7DA82CF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894E4DA" w14:textId="4809159D" w:rsidR="008168DD" w:rsidRPr="00A731EC" w:rsidRDefault="008168DD" w:rsidP="007D22D7">
            <w:pPr>
              <w:spacing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31C3EF5" w14:textId="71A8B6B5" w:rsidR="008168DD" w:rsidRDefault="00CB05BF" w:rsidP="00F62515">
            <w:pPr>
              <w:pStyle w:val="Listenebene1"/>
            </w:pPr>
            <w:r>
              <w:rPr>
                <w:rFonts w:cs="Arial"/>
                <w:lang w:eastAsia="de-DE"/>
              </w:rPr>
              <w:t>s</w:t>
            </w:r>
            <w:r w:rsidRPr="009B16FB">
              <w:rPr>
                <w:rFonts w:cs="Arial"/>
                <w:lang w:eastAsia="de-DE"/>
              </w:rPr>
              <w:t>chwere Verletzungen, Gesundheitsschäden oder Tod durch falsche oder fehlende Nutzung von PSA</w:t>
            </w:r>
          </w:p>
        </w:tc>
      </w:tr>
      <w:tr w:rsidR="00FB079F" w14:paraId="705E74C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7D127FE" w14:textId="77777777" w:rsidR="00FB079F" w:rsidRPr="00A731EC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DF7FA49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D49B981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51D646D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E41139D" w14:textId="79D5F66B" w:rsidR="008168DD" w:rsidRPr="00A731EC" w:rsidRDefault="00CB05BF" w:rsidP="00A731EC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731EC">
              <w:rPr>
                <w:noProof/>
              </w:rPr>
              <w:drawing>
                <wp:inline distT="0" distB="0" distL="0" distR="0" wp14:anchorId="205B5ADD" wp14:editId="6BB98AA7">
                  <wp:extent cx="612000" cy="613226"/>
                  <wp:effectExtent l="0" t="0" r="0" b="0"/>
                  <wp:docPr id="47" name="Grafik 47" descr="Gebotszeichen „Allgemeines Gebotszeichen“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C1227A0" w14:textId="5FE68391" w:rsidR="00CB05BF" w:rsidRPr="00CB05BF" w:rsidRDefault="0028268A" w:rsidP="00854334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p</w:t>
            </w:r>
            <w:r w:rsidR="00CB05BF" w:rsidRPr="00CB05BF">
              <w:rPr>
                <w:lang w:eastAsia="de-DE"/>
              </w:rPr>
              <w:t>assende PSA für jeweilige Tätigkeit nutzen, siehe Betriebsanweisung der Maschine oder des Arbeitsverfahrens</w:t>
            </w:r>
            <w:r>
              <w:rPr>
                <w:lang w:eastAsia="de-DE"/>
              </w:rPr>
              <w:t>; f</w:t>
            </w:r>
            <w:r w:rsidR="00CB05BF" w:rsidRPr="00CB05BF">
              <w:rPr>
                <w:lang w:eastAsia="de-DE"/>
              </w:rPr>
              <w:t xml:space="preserve">ür eine optimale Schutzwirkung ist die dort angegebene Art </w:t>
            </w:r>
            <w:r w:rsidR="00B477DD">
              <w:rPr>
                <w:lang w:eastAsia="de-DE"/>
              </w:rPr>
              <w:t>bzw. der</w:t>
            </w:r>
            <w:r w:rsidR="00CB05BF" w:rsidRPr="00CB05BF">
              <w:rPr>
                <w:lang w:eastAsia="de-DE"/>
              </w:rPr>
              <w:t xml:space="preserve"> Typ der PSA unbedingt einzuhalte</w:t>
            </w:r>
            <w:r w:rsidR="00592C93">
              <w:rPr>
                <w:lang w:eastAsia="de-DE"/>
              </w:rPr>
              <w:t>n –</w:t>
            </w:r>
            <w:r w:rsidR="000F7945">
              <w:rPr>
                <w:lang w:eastAsia="de-DE"/>
              </w:rPr>
              <w:t xml:space="preserve"> </w:t>
            </w:r>
            <w:r w:rsidR="00C861E9">
              <w:rPr>
                <w:lang w:eastAsia="de-DE"/>
              </w:rPr>
              <w:t xml:space="preserve">die </w:t>
            </w:r>
            <w:r w:rsidR="00CB05BF" w:rsidRPr="00CB05BF">
              <w:rPr>
                <w:lang w:eastAsia="de-DE"/>
              </w:rPr>
              <w:t xml:space="preserve">Nutzung von Lederhandschuhen statt Vinylhandschuhen beim Umgang mit Gefahrstoffen erzeugt </w:t>
            </w:r>
            <w:r w:rsidR="000F7945">
              <w:rPr>
                <w:lang w:eastAsia="de-DE"/>
              </w:rPr>
              <w:t xml:space="preserve">z. B. </w:t>
            </w:r>
            <w:r w:rsidR="00CB05BF" w:rsidRPr="00CB05BF">
              <w:rPr>
                <w:lang w:eastAsia="de-DE"/>
              </w:rPr>
              <w:t>ein falsches Sicherheitsgefühl ohne entsprechende Schutzwirkung</w:t>
            </w:r>
          </w:p>
          <w:p w14:paraId="6F86F718" w14:textId="42D7BDB4" w:rsidR="00CB05BF" w:rsidRPr="00CB05BF" w:rsidRDefault="00C861E9" w:rsidP="00CB05B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das N</w:t>
            </w:r>
            <w:r w:rsidR="00CB05BF" w:rsidRPr="00CB05BF">
              <w:rPr>
                <w:lang w:eastAsia="de-DE"/>
              </w:rPr>
              <w:t>icht-Tragen von PSA ist eine Zuwiderhandlung gegen Weisungen des Unternehmens und kann arbeitsrechtlich geahndet werden</w:t>
            </w:r>
          </w:p>
          <w:p w14:paraId="27C248FC" w14:textId="619CBB77" w:rsidR="00CB05BF" w:rsidRPr="00CB05BF" w:rsidRDefault="00CB05BF" w:rsidP="00CB05B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CB05BF">
              <w:rPr>
                <w:lang w:eastAsia="de-DE"/>
              </w:rPr>
              <w:t xml:space="preserve">ei Fragen oder Problemen zur PSA Führungskraft, </w:t>
            </w:r>
            <w:r w:rsidR="00C861E9">
              <w:rPr>
                <w:lang w:eastAsia="de-DE"/>
              </w:rPr>
              <w:t>Fachkraft für Arbeitssicherheit</w:t>
            </w:r>
            <w:r w:rsidRPr="00CB05BF">
              <w:rPr>
                <w:lang w:eastAsia="de-DE"/>
              </w:rPr>
              <w:t xml:space="preserve"> oder Sicherheitsbeauftragten ansprechen</w:t>
            </w:r>
            <w:r w:rsidR="003C4B76">
              <w:rPr>
                <w:lang w:eastAsia="de-DE"/>
              </w:rPr>
              <w:t xml:space="preserve"> (Namen, Telefonnummern)</w:t>
            </w:r>
          </w:p>
          <w:p w14:paraId="6376A95C" w14:textId="77777777" w:rsidR="00CB05BF" w:rsidRPr="00CB05BF" w:rsidRDefault="00CB05BF" w:rsidP="00CB05BF">
            <w:pPr>
              <w:pStyle w:val="Listenebene1"/>
              <w:rPr>
                <w:lang w:eastAsia="de-DE"/>
              </w:rPr>
            </w:pPr>
            <w:r w:rsidRPr="00CB05BF">
              <w:rPr>
                <w:lang w:eastAsia="de-DE"/>
              </w:rPr>
              <w:t>Nutzungshinweise des PSA-Herstellers beachten</w:t>
            </w:r>
          </w:p>
          <w:p w14:paraId="5A4C2901" w14:textId="51122580" w:rsidR="00CB05BF" w:rsidRPr="00CB05BF" w:rsidRDefault="00CB05BF" w:rsidP="00CB05BF">
            <w:pPr>
              <w:pStyle w:val="Listenebene1"/>
              <w:rPr>
                <w:lang w:eastAsia="de-DE"/>
              </w:rPr>
            </w:pPr>
            <w:r w:rsidRPr="00CB05BF">
              <w:rPr>
                <w:lang w:eastAsia="de-DE"/>
              </w:rPr>
              <w:t xml:space="preserve">PSA vor Benutzung auf Mängel kontrollieren, bei Mängeln </w:t>
            </w:r>
            <w:r w:rsidR="00C861E9">
              <w:rPr>
                <w:lang w:eastAsia="de-DE"/>
              </w:rPr>
              <w:t>nicht weiter benutzen</w:t>
            </w:r>
          </w:p>
          <w:p w14:paraId="36CDEB7F" w14:textId="5B01A292" w:rsidR="00CB05BF" w:rsidRPr="00CB05BF" w:rsidRDefault="00CB05BF" w:rsidP="00CB05B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m</w:t>
            </w:r>
            <w:r w:rsidRPr="00CB05BF">
              <w:rPr>
                <w:lang w:eastAsia="de-DE"/>
              </w:rPr>
              <w:t>aximale Gebrauchsdauer der PSA beachten</w:t>
            </w:r>
            <w:r w:rsidR="006215A9">
              <w:rPr>
                <w:lang w:eastAsia="de-DE"/>
              </w:rPr>
              <w:t xml:space="preserve">, </w:t>
            </w:r>
            <w:r w:rsidRPr="00CB05BF">
              <w:rPr>
                <w:lang w:eastAsia="de-DE"/>
              </w:rPr>
              <w:t>z.</w:t>
            </w:r>
            <w:r>
              <w:rPr>
                <w:lang w:eastAsia="de-DE"/>
              </w:rPr>
              <w:t xml:space="preserve"> </w:t>
            </w:r>
            <w:r w:rsidRPr="00CB05BF">
              <w:rPr>
                <w:lang w:eastAsia="de-DE"/>
              </w:rPr>
              <w:t xml:space="preserve">B. </w:t>
            </w:r>
            <w:r w:rsidR="00592C93">
              <w:rPr>
                <w:lang w:eastAsia="de-DE"/>
              </w:rPr>
              <w:t xml:space="preserve">bei </w:t>
            </w:r>
            <w:r w:rsidRPr="00CB05BF">
              <w:rPr>
                <w:lang w:eastAsia="de-DE"/>
              </w:rPr>
              <w:t>Atemschutzmasken, Chemikalienschutzhandschuhe</w:t>
            </w:r>
            <w:r w:rsidR="00C861E9">
              <w:rPr>
                <w:lang w:eastAsia="de-DE"/>
              </w:rPr>
              <w:t>n</w:t>
            </w:r>
            <w:r w:rsidR="00592C93">
              <w:rPr>
                <w:lang w:eastAsia="de-DE"/>
              </w:rPr>
              <w:t xml:space="preserve">, </w:t>
            </w:r>
            <w:r w:rsidRPr="00CB05BF">
              <w:rPr>
                <w:lang w:eastAsia="de-DE"/>
              </w:rPr>
              <w:t>Kopfschutz</w:t>
            </w:r>
          </w:p>
          <w:p w14:paraId="14D042B4" w14:textId="3213642B" w:rsidR="00CB05BF" w:rsidRPr="00CB05BF" w:rsidRDefault="00C861E9" w:rsidP="00CB05B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keine </w:t>
            </w:r>
            <w:r w:rsidR="00CB05BF" w:rsidRPr="00CB05BF">
              <w:rPr>
                <w:lang w:eastAsia="de-DE"/>
              </w:rPr>
              <w:t xml:space="preserve">Veränderungen an PSA </w:t>
            </w:r>
            <w:r>
              <w:rPr>
                <w:lang w:eastAsia="de-DE"/>
              </w:rPr>
              <w:t xml:space="preserve">vornehmen – </w:t>
            </w:r>
            <w:r w:rsidR="00CB05BF" w:rsidRPr="00CB05BF">
              <w:rPr>
                <w:lang w:eastAsia="de-DE"/>
              </w:rPr>
              <w:t>es sei denn</w:t>
            </w:r>
            <w:r>
              <w:rPr>
                <w:lang w:eastAsia="de-DE"/>
              </w:rPr>
              <w:t xml:space="preserve">, diese sind </w:t>
            </w:r>
            <w:r w:rsidR="00CB05BF" w:rsidRPr="00CB05BF">
              <w:rPr>
                <w:lang w:eastAsia="de-DE"/>
              </w:rPr>
              <w:t>explizit durch den Hersteller freigegeben</w:t>
            </w:r>
          </w:p>
          <w:p w14:paraId="419A26FB" w14:textId="1C65A0BC" w:rsidR="008168DD" w:rsidRDefault="00CB05BF" w:rsidP="00CB05BF">
            <w:pPr>
              <w:pStyle w:val="Listenebene1"/>
            </w:pPr>
            <w:r w:rsidRPr="00CB05BF">
              <w:rPr>
                <w:lang w:eastAsia="de-DE"/>
              </w:rPr>
              <w:t xml:space="preserve">PSA gegen tödliche Gefährdungen nur nach vorheriger theoretischer und praktischer Unterweisung </w:t>
            </w:r>
            <w:r w:rsidR="00C861E9">
              <w:rPr>
                <w:lang w:eastAsia="de-DE"/>
              </w:rPr>
              <w:t xml:space="preserve">nutzen – dies </w:t>
            </w:r>
            <w:r w:rsidRPr="00CB05BF">
              <w:rPr>
                <w:lang w:eastAsia="de-DE"/>
              </w:rPr>
              <w:t>betrifft z.</w:t>
            </w:r>
            <w:r>
              <w:rPr>
                <w:lang w:eastAsia="de-DE"/>
              </w:rPr>
              <w:t xml:space="preserve"> </w:t>
            </w:r>
            <w:r w:rsidRPr="00CB05BF">
              <w:rPr>
                <w:lang w:eastAsia="de-DE"/>
              </w:rPr>
              <w:t>B. PSA gegen Absturz, Gehörschutz, Stech- und Schnittschutzbekleidung außer Handschuhe</w:t>
            </w:r>
            <w:r w:rsidR="00C861E9">
              <w:rPr>
                <w:lang w:eastAsia="de-DE"/>
              </w:rPr>
              <w:t xml:space="preserve"> sowie</w:t>
            </w:r>
            <w:r w:rsidRPr="00CB05BF">
              <w:rPr>
                <w:lang w:eastAsia="de-DE"/>
              </w:rPr>
              <w:t xml:space="preserve"> PSA gegen elektrischen Schlag</w:t>
            </w:r>
          </w:p>
        </w:tc>
      </w:tr>
      <w:tr w:rsidR="00F12127" w14:paraId="78DC437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467C5C0" w14:textId="77777777" w:rsidR="00FB079F" w:rsidRPr="00A731EC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C1A19F6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062C995" w14:textId="77777777" w:rsidR="00FB079F" w:rsidRDefault="00FB079F" w:rsidP="00F11D9D">
            <w:pPr>
              <w:pStyle w:val="berschrift1"/>
            </w:pPr>
          </w:p>
        </w:tc>
      </w:tr>
      <w:tr w:rsidR="009D7F7C" w14:paraId="0498A50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1B52429" w14:textId="77E9968A" w:rsidR="009D7F7C" w:rsidRPr="00A731EC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147F48D" w14:textId="77777777" w:rsidR="009D7F7C" w:rsidRDefault="007142AD" w:rsidP="00CB05BF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2D3926F7" w14:textId="32C32314" w:rsidR="00CB05BF" w:rsidRDefault="00CB05BF" w:rsidP="00592C93">
            <w:pPr>
              <w:pStyle w:val="Listenebene1"/>
            </w:pPr>
            <w:r w:rsidRPr="00CB05BF">
              <w:rPr>
                <w:snapToGrid w:val="0"/>
                <w:lang w:eastAsia="de-DE"/>
              </w:rPr>
              <w:t>PSA ersetzen, wenn die Schutzwirkung durch Verschleiß oder Beschädigung nicht mehr gegeben ist</w:t>
            </w:r>
            <w:r w:rsidR="000F7945">
              <w:rPr>
                <w:snapToGrid w:val="0"/>
                <w:lang w:eastAsia="de-DE"/>
              </w:rPr>
              <w:t xml:space="preserve">, z. B. wenn die </w:t>
            </w:r>
            <w:r w:rsidRPr="00CB05BF">
              <w:rPr>
                <w:snapToGrid w:val="0"/>
                <w:lang w:eastAsia="de-DE"/>
              </w:rPr>
              <w:t>Zehenschutzkappe eines Sicherheitsschuhs auf</w:t>
            </w:r>
            <w:r w:rsidR="00C861E9">
              <w:rPr>
                <w:snapToGrid w:val="0"/>
                <w:lang w:eastAsia="de-DE"/>
              </w:rPr>
              <w:t xml:space="preserve">grund des verschlissenen </w:t>
            </w:r>
            <w:r w:rsidRPr="00CB05BF">
              <w:rPr>
                <w:snapToGrid w:val="0"/>
                <w:lang w:eastAsia="de-DE"/>
              </w:rPr>
              <w:t xml:space="preserve">Obermaterials deutlich sichtbar </w:t>
            </w:r>
            <w:r w:rsidR="000F7945">
              <w:rPr>
                <w:snapToGrid w:val="0"/>
                <w:lang w:eastAsia="de-DE"/>
              </w:rPr>
              <w:t xml:space="preserve">ist </w:t>
            </w:r>
            <w:r w:rsidRPr="00CB05BF">
              <w:rPr>
                <w:snapToGrid w:val="0"/>
                <w:lang w:eastAsia="de-DE"/>
              </w:rPr>
              <w:t xml:space="preserve">oder </w:t>
            </w:r>
            <w:r w:rsidR="00C861E9">
              <w:rPr>
                <w:snapToGrid w:val="0"/>
                <w:lang w:eastAsia="de-DE"/>
              </w:rPr>
              <w:t xml:space="preserve">ein </w:t>
            </w:r>
            <w:r w:rsidRPr="00CB05BF">
              <w:rPr>
                <w:snapToGrid w:val="0"/>
                <w:lang w:eastAsia="de-DE"/>
              </w:rPr>
              <w:t>Schutzhandschuh</w:t>
            </w:r>
            <w:r w:rsidR="00C861E9">
              <w:rPr>
                <w:snapToGrid w:val="0"/>
                <w:lang w:eastAsia="de-DE"/>
              </w:rPr>
              <w:t xml:space="preserve"> </w:t>
            </w:r>
            <w:r w:rsidR="00C861E9" w:rsidRPr="00CB05BF">
              <w:rPr>
                <w:snapToGrid w:val="0"/>
                <w:lang w:eastAsia="de-DE"/>
              </w:rPr>
              <w:t>löchri</w:t>
            </w:r>
            <w:r w:rsidR="00C861E9">
              <w:rPr>
                <w:snapToGrid w:val="0"/>
                <w:lang w:eastAsia="de-DE"/>
              </w:rPr>
              <w:t>g</w:t>
            </w:r>
            <w:r w:rsidR="000F7945">
              <w:rPr>
                <w:snapToGrid w:val="0"/>
                <w:lang w:eastAsia="de-DE"/>
              </w:rPr>
              <w:t xml:space="preserve"> ist</w:t>
            </w:r>
          </w:p>
        </w:tc>
      </w:tr>
      <w:tr w:rsidR="009D7F7C" w14:paraId="789CAD87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F00BCF6" w14:textId="77777777" w:rsidR="009D7F7C" w:rsidRPr="00A731E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A5E1006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559963F6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16D1979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DBA1A17" w14:textId="77777777" w:rsidR="009D7F7C" w:rsidRPr="00F11D9D" w:rsidRDefault="008D58F7" w:rsidP="00A731EC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DCF2FEB" wp14:editId="406E3884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787BC8C" w14:textId="77777777" w:rsidR="0008036B" w:rsidRDefault="007142AD" w:rsidP="00CB05BF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0D5918AF" w14:textId="77777777" w:rsidR="007142AD" w:rsidRDefault="0008036B" w:rsidP="00CB05BF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2E14B28A" w14:textId="77777777" w:rsidR="007142AD" w:rsidRDefault="007142AD" w:rsidP="00CB05BF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6B121E1D" w14:textId="77777777" w:rsidR="007142AD" w:rsidRDefault="00F06650" w:rsidP="00CB05BF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311A3167" w14:textId="46A2B514" w:rsidR="009D7F7C" w:rsidRDefault="00E53728" w:rsidP="00CB05BF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A731EC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A731EC">
              <w:t xml:space="preserve"> (Was?)</w:t>
            </w:r>
          </w:p>
          <w:p w14:paraId="54E6016D" w14:textId="22B5F86F" w:rsidR="00CB05BF" w:rsidRDefault="00AD0AE3" w:rsidP="00A731EC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3286771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1B1C318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B962286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9B72800" w14:textId="77777777" w:rsidR="009D7F7C" w:rsidRDefault="009D7F7C" w:rsidP="00F11D9D">
            <w:pPr>
              <w:pStyle w:val="berschrift1"/>
            </w:pPr>
          </w:p>
        </w:tc>
      </w:tr>
      <w:tr w:rsidR="008822F8" w14:paraId="301B167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6B94A20C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401992A2" w14:textId="64EBC836" w:rsidR="008822F8" w:rsidRPr="008822F8" w:rsidRDefault="00CB05BF" w:rsidP="00CB05BF">
            <w:pPr>
              <w:pStyle w:val="Listenebene1"/>
            </w:pPr>
            <w:r w:rsidRPr="009B16FB">
              <w:rPr>
                <w:lang w:eastAsia="de-DE"/>
              </w:rPr>
              <w:t>Instandhaltung der PSA nur durch fachkundige Personen</w:t>
            </w:r>
            <w:r w:rsidR="00A731EC">
              <w:rPr>
                <w:lang w:eastAsia="de-DE"/>
              </w:rPr>
              <w:t xml:space="preserve"> durchführen lassen</w:t>
            </w:r>
          </w:p>
        </w:tc>
      </w:tr>
    </w:tbl>
    <w:p w14:paraId="1A397CE5" w14:textId="77777777" w:rsidR="000D5C63" w:rsidRDefault="00C82C24" w:rsidP="00357BA4">
      <w:r>
        <w:t>Datum, Unterschrift</w:t>
      </w:r>
    </w:p>
    <w:p w14:paraId="2A79105E" w14:textId="77777777" w:rsidR="00C82C24" w:rsidRDefault="00C82C24" w:rsidP="00357BA4"/>
    <w:p w14:paraId="0175C250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823B" w14:textId="77777777" w:rsidR="00D41260" w:rsidRDefault="00D41260" w:rsidP="005C4990">
      <w:r>
        <w:separator/>
      </w:r>
    </w:p>
  </w:endnote>
  <w:endnote w:type="continuationSeparator" w:id="0">
    <w:p w14:paraId="4BC015CA" w14:textId="77777777" w:rsidR="00D41260" w:rsidRDefault="00D4126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CFAE" w14:textId="77777777" w:rsidR="00D41260" w:rsidRDefault="00D41260" w:rsidP="005C4990">
      <w:r>
        <w:separator/>
      </w:r>
    </w:p>
  </w:footnote>
  <w:footnote w:type="continuationSeparator" w:id="0">
    <w:p w14:paraId="518C656E" w14:textId="77777777" w:rsidR="00D41260" w:rsidRDefault="00D4126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7678"/>
    <w:multiLevelType w:val="hybridMultilevel"/>
    <w:tmpl w:val="5D4495D8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19727E8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2"/>
  </w:num>
  <w:num w:numId="4">
    <w:abstractNumId w:val="41"/>
  </w:num>
  <w:num w:numId="5">
    <w:abstractNumId w:val="36"/>
  </w:num>
  <w:num w:numId="6">
    <w:abstractNumId w:val="4"/>
  </w:num>
  <w:num w:numId="7">
    <w:abstractNumId w:val="17"/>
  </w:num>
  <w:num w:numId="8">
    <w:abstractNumId w:val="0"/>
  </w:num>
  <w:num w:numId="9">
    <w:abstractNumId w:val="12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25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0"/>
  </w:num>
  <w:num w:numId="20">
    <w:abstractNumId w:val="24"/>
  </w:num>
  <w:num w:numId="21">
    <w:abstractNumId w:val="7"/>
  </w:num>
  <w:num w:numId="22">
    <w:abstractNumId w:val="2"/>
  </w:num>
  <w:num w:numId="23">
    <w:abstractNumId w:val="27"/>
  </w:num>
  <w:num w:numId="24">
    <w:abstractNumId w:val="1"/>
  </w:num>
  <w:num w:numId="25">
    <w:abstractNumId w:val="28"/>
  </w:num>
  <w:num w:numId="26">
    <w:abstractNumId w:val="34"/>
  </w:num>
  <w:num w:numId="27">
    <w:abstractNumId w:val="31"/>
  </w:num>
  <w:num w:numId="28">
    <w:abstractNumId w:val="8"/>
  </w:num>
  <w:num w:numId="29">
    <w:abstractNumId w:val="40"/>
  </w:num>
  <w:num w:numId="30">
    <w:abstractNumId w:val="14"/>
  </w:num>
  <w:num w:numId="31">
    <w:abstractNumId w:val="11"/>
  </w:num>
  <w:num w:numId="32">
    <w:abstractNumId w:val="33"/>
  </w:num>
  <w:num w:numId="33">
    <w:abstractNumId w:val="30"/>
  </w:num>
  <w:num w:numId="34">
    <w:abstractNumId w:val="22"/>
  </w:num>
  <w:num w:numId="35">
    <w:abstractNumId w:val="23"/>
  </w:num>
  <w:num w:numId="36">
    <w:abstractNumId w:val="39"/>
  </w:num>
  <w:num w:numId="37">
    <w:abstractNumId w:val="38"/>
  </w:num>
  <w:num w:numId="38">
    <w:abstractNumId w:val="9"/>
  </w:num>
  <w:num w:numId="39">
    <w:abstractNumId w:val="3"/>
  </w:num>
  <w:num w:numId="40">
    <w:abstractNumId w:val="19"/>
  </w:num>
  <w:num w:numId="41">
    <w:abstractNumId w:val="2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A3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0F7945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64578"/>
    <w:rsid w:val="00271A97"/>
    <w:rsid w:val="00275C99"/>
    <w:rsid w:val="002810B5"/>
    <w:rsid w:val="0028268A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2D83"/>
    <w:rsid w:val="00384451"/>
    <w:rsid w:val="00395A3E"/>
    <w:rsid w:val="00397950"/>
    <w:rsid w:val="003A754D"/>
    <w:rsid w:val="003C4B76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013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4C2F"/>
    <w:rsid w:val="00535B94"/>
    <w:rsid w:val="00545300"/>
    <w:rsid w:val="00547F18"/>
    <w:rsid w:val="0055165D"/>
    <w:rsid w:val="0055497D"/>
    <w:rsid w:val="00574BDF"/>
    <w:rsid w:val="00585143"/>
    <w:rsid w:val="00592C9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215A9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0FE5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31EC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477DD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162F1"/>
    <w:rsid w:val="00C315B7"/>
    <w:rsid w:val="00C354F0"/>
    <w:rsid w:val="00C35FDC"/>
    <w:rsid w:val="00C41755"/>
    <w:rsid w:val="00C703DA"/>
    <w:rsid w:val="00C82C24"/>
    <w:rsid w:val="00C861E9"/>
    <w:rsid w:val="00C93FB9"/>
    <w:rsid w:val="00C956C5"/>
    <w:rsid w:val="00CA4EC6"/>
    <w:rsid w:val="00CB05BF"/>
    <w:rsid w:val="00CC140B"/>
    <w:rsid w:val="00CD246E"/>
    <w:rsid w:val="00CE09E1"/>
    <w:rsid w:val="00CE2CFE"/>
    <w:rsid w:val="00CF0877"/>
    <w:rsid w:val="00D156B0"/>
    <w:rsid w:val="00D33160"/>
    <w:rsid w:val="00D41260"/>
    <w:rsid w:val="00D421DD"/>
    <w:rsid w:val="00D43633"/>
    <w:rsid w:val="00D5423E"/>
    <w:rsid w:val="00D563C8"/>
    <w:rsid w:val="00D65028"/>
    <w:rsid w:val="00D92536"/>
    <w:rsid w:val="00D95804"/>
    <w:rsid w:val="00DA7BF2"/>
    <w:rsid w:val="00DB49FD"/>
    <w:rsid w:val="00DB4E4A"/>
    <w:rsid w:val="00DB702F"/>
    <w:rsid w:val="00DC39A3"/>
    <w:rsid w:val="00DD58D8"/>
    <w:rsid w:val="00DF3EAC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30C8C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BB861"/>
  <w15:docId w15:val="{6A184A25-1684-487B-B016-53E7247C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D758-8A1D-41EC-8B1D-0C2F9800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22-3 - PSA - Muster-Betriebsanweisung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22-3 - PSA - Muster-Betriebsanweisung</dc:title>
  <dc:creator>Berufsgenossenschaft Handel und Warenlogistik (BGHW)</dc:creator>
  <cp:lastModifiedBy>Richarz, Saskia</cp:lastModifiedBy>
  <cp:revision>14</cp:revision>
  <cp:lastPrinted>2024-07-19T05:45:00Z</cp:lastPrinted>
  <dcterms:created xsi:type="dcterms:W3CDTF">2024-09-16T05:28:00Z</dcterms:created>
  <dcterms:modified xsi:type="dcterms:W3CDTF">2026-03-27T03:15:00Z</dcterms:modified>
</cp:coreProperties>
</file>