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493A37CD" w14:textId="77777777" w:rsidTr="00E06067">
        <w:tc>
          <w:tcPr>
            <w:tcW w:w="3214" w:type="dxa"/>
            <w:gridSpan w:val="2"/>
            <w:tcBorders>
              <w:top w:val="single" w:sz="36" w:space="0" w:color="F35449"/>
              <w:left w:val="single" w:sz="36" w:space="0" w:color="F35449"/>
              <w:bottom w:val="nil"/>
              <w:right w:val="nil"/>
            </w:tcBorders>
          </w:tcPr>
          <w:p w14:paraId="3D2A698D" w14:textId="77777777" w:rsidR="00FB079F" w:rsidRDefault="00FB079F" w:rsidP="00357BA4">
            <w:r>
              <w:t>Firma:</w:t>
            </w:r>
          </w:p>
        </w:tc>
        <w:tc>
          <w:tcPr>
            <w:tcW w:w="4254" w:type="dxa"/>
            <w:tcBorders>
              <w:top w:val="single" w:sz="36" w:space="0" w:color="F35449"/>
              <w:left w:val="nil"/>
              <w:bottom w:val="nil"/>
              <w:right w:val="nil"/>
            </w:tcBorders>
          </w:tcPr>
          <w:p w14:paraId="1F2009BC" w14:textId="77777777" w:rsidR="00FB079F" w:rsidRPr="00AC7DB6" w:rsidRDefault="00FB079F" w:rsidP="00AC7DB6">
            <w:pPr>
              <w:pStyle w:val="Titel"/>
            </w:pPr>
            <w:r w:rsidRPr="00AC7DB6">
              <w:t>Betriebsanweisung</w:t>
            </w:r>
          </w:p>
          <w:p w14:paraId="2B223E06" w14:textId="77777777" w:rsidR="00FB079F" w:rsidRDefault="00FB079F" w:rsidP="00FB079F">
            <w:pPr>
              <w:jc w:val="center"/>
              <w:rPr>
                <w:rFonts w:cs="Arial"/>
              </w:rPr>
            </w:pPr>
            <w:r w:rsidRPr="00F424C7">
              <w:rPr>
                <w:rFonts w:cs="Arial"/>
              </w:rPr>
              <w:t xml:space="preserve">gemäß § 14 </w:t>
            </w:r>
            <w:r w:rsidR="00A66F28">
              <w:rPr>
                <w:rFonts w:cs="Arial"/>
              </w:rPr>
              <w:t>Gef</w:t>
            </w:r>
            <w:r w:rsidRPr="00F424C7">
              <w:rPr>
                <w:rFonts w:cs="Arial"/>
              </w:rPr>
              <w:t>StoffV</w:t>
            </w:r>
            <w:r w:rsidR="00A66F28">
              <w:rPr>
                <w:rFonts w:cs="Arial"/>
              </w:rPr>
              <w:t xml:space="preserve"> und TRGS 555</w:t>
            </w:r>
          </w:p>
          <w:p w14:paraId="5BB24604" w14:textId="77777777" w:rsidR="00AC7DB6" w:rsidRPr="00FB079F" w:rsidRDefault="00EF2C32" w:rsidP="00AC7DB6">
            <w:pPr>
              <w:pStyle w:val="Titel"/>
            </w:pPr>
            <w:r>
              <w:t>Otto-Kraftstoffe</w:t>
            </w:r>
          </w:p>
        </w:tc>
        <w:tc>
          <w:tcPr>
            <w:tcW w:w="3214" w:type="dxa"/>
            <w:gridSpan w:val="2"/>
            <w:tcBorders>
              <w:top w:val="single" w:sz="36" w:space="0" w:color="F35449"/>
              <w:left w:val="nil"/>
              <w:bottom w:val="nil"/>
              <w:right w:val="single" w:sz="36" w:space="0" w:color="F35449"/>
            </w:tcBorders>
          </w:tcPr>
          <w:p w14:paraId="6134FF7D" w14:textId="202B9AF5" w:rsidR="00FB079F" w:rsidRDefault="00FB079F" w:rsidP="00FB079F">
            <w:pPr>
              <w:jc w:val="right"/>
            </w:pPr>
            <w:r>
              <w:t>Stand: TT.MM.</w:t>
            </w:r>
            <w:r w:rsidR="0095278D">
              <w:t>JJJJ</w:t>
            </w:r>
          </w:p>
        </w:tc>
      </w:tr>
      <w:tr w:rsidR="00FB079F" w14:paraId="55B8EEE2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97B81B2" w14:textId="77777777" w:rsidR="00FB079F" w:rsidRPr="00E06067" w:rsidRDefault="00FB079F" w:rsidP="00C82C2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722B7BC7" w14:textId="77777777" w:rsidR="00FB079F" w:rsidRPr="00E06067" w:rsidRDefault="00F12127" w:rsidP="00C82C24">
            <w:pPr>
              <w:pStyle w:val="berschrift1"/>
            </w:pPr>
            <w:r w:rsidRPr="00E06067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093873A3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647270A0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</w:tcPr>
          <w:p w14:paraId="32B1368F" w14:textId="77777777" w:rsidR="008168DD" w:rsidRPr="0057075B" w:rsidRDefault="008168DD" w:rsidP="00A66F28">
            <w:r w:rsidRPr="0057075B">
              <w:t>Betrieb</w:t>
            </w:r>
            <w:r w:rsidR="00D658BC">
              <w:t>:</w:t>
            </w:r>
          </w:p>
          <w:p w14:paraId="5386D959" w14:textId="77777777" w:rsidR="008168DD" w:rsidRPr="0057075B" w:rsidRDefault="008168DD" w:rsidP="00A66F28">
            <w:r w:rsidRPr="0057075B">
              <w:t>Arbeitsbereich, Arbeitsplatz</w:t>
            </w:r>
            <w:r w:rsidR="00D658BC">
              <w:t>:</w:t>
            </w:r>
            <w:r w:rsidR="00F5273E">
              <w:t xml:space="preserve"> Tankstelle</w:t>
            </w:r>
          </w:p>
          <w:p w14:paraId="774D1D85" w14:textId="77777777" w:rsidR="008168DD" w:rsidRDefault="008168DD" w:rsidP="00A66F28">
            <w:r w:rsidRPr="0057075B">
              <w:t>Tätigkeit</w:t>
            </w:r>
            <w:r w:rsidR="00D658BC">
              <w:t>:</w:t>
            </w:r>
            <w:r w:rsidR="00F5273E">
              <w:t xml:space="preserve"> Tanken, Umfüllen von Kraftstoff im Freien</w:t>
            </w:r>
          </w:p>
        </w:tc>
      </w:tr>
      <w:tr w:rsidR="00FB079F" w14:paraId="7C7D4F88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55786F7" w14:textId="77777777" w:rsidR="00FB079F" w:rsidRPr="005F19FF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9E1673A" w14:textId="77777777" w:rsidR="00FB079F" w:rsidRPr="00E06067" w:rsidRDefault="00F12127" w:rsidP="00C82C24">
            <w:pPr>
              <w:pStyle w:val="berschrift1"/>
            </w:pPr>
            <w:r w:rsidRPr="00E06067">
              <w:t>Gefahr</w:t>
            </w:r>
            <w:r w:rsidR="00A66F28" w:rsidRPr="00E06067">
              <w:t>stoffbezeichnung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3742106F" w14:textId="77777777" w:rsidR="00FB079F" w:rsidRPr="00E06067" w:rsidRDefault="00FB079F" w:rsidP="00C82C24">
            <w:pPr>
              <w:pStyle w:val="berschrift1"/>
            </w:pPr>
          </w:p>
        </w:tc>
      </w:tr>
      <w:tr w:rsidR="00A66F28" w14:paraId="1D26F902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vAlign w:val="center"/>
          </w:tcPr>
          <w:p w14:paraId="6E61131C" w14:textId="77777777" w:rsidR="00A66F28" w:rsidRDefault="00F5273E" w:rsidP="00F5273E">
            <w:r>
              <w:t>Otto-Kraftstoffe: Benzin</w:t>
            </w:r>
            <w:r w:rsidR="00EF2C32">
              <w:t xml:space="preserve"> und</w:t>
            </w:r>
            <w:r>
              <w:t xml:space="preserve"> Super-Benzin</w:t>
            </w:r>
            <w:r w:rsidR="00EF2C32">
              <w:t xml:space="preserve"> – </w:t>
            </w:r>
            <w:r>
              <w:t>Gemisch aus aromatischen und aliphatischen Kohlenwasserstoffen</w:t>
            </w:r>
          </w:p>
        </w:tc>
      </w:tr>
      <w:tr w:rsidR="005D642B" w14:paraId="585C469C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7B2B817D" w14:textId="77777777" w:rsidR="005D642B" w:rsidRPr="005F19FF" w:rsidRDefault="005D642B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4F13885A" w14:textId="77777777" w:rsidR="005D642B" w:rsidRPr="00E06067" w:rsidRDefault="005D642B" w:rsidP="00A66F28">
            <w:pPr>
              <w:pStyle w:val="berschrift1"/>
            </w:pPr>
            <w:r w:rsidRPr="00E06067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3B62CCEC" w14:textId="77777777" w:rsidR="005D642B" w:rsidRPr="00E06067" w:rsidRDefault="005D642B" w:rsidP="00A66F28">
            <w:pPr>
              <w:pStyle w:val="berschrift1"/>
            </w:pPr>
          </w:p>
        </w:tc>
      </w:tr>
      <w:tr w:rsidR="00A66F28" w14:paraId="7B0BCC6F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670DB672" w14:textId="77777777" w:rsidR="00A354DE" w:rsidRDefault="003C112F" w:rsidP="00A354DE">
            <w:pPr>
              <w:spacing w:before="40" w:after="40"/>
              <w:jc w:val="center"/>
              <w:rPr>
                <w:rFonts w:ascii="Calibri" w:eastAsia="Calibri" w:hAnsi="Calibri"/>
                <w:noProof/>
                <w:color w:val="004994"/>
                <w:sz w:val="18"/>
                <w:szCs w:val="18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54F0D226" wp14:editId="35BAE395">
                  <wp:extent cx="612000" cy="612000"/>
                  <wp:effectExtent l="0" t="0" r="0" b="0"/>
                  <wp:docPr id="2" name="Grafik 2" descr="GHS-Gefahrenpiktogramm &quot;Gesundheitsgefahr&quot; (GHS0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ghs_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D2336" w14:textId="77777777" w:rsidR="00A66F28" w:rsidRDefault="003C112F" w:rsidP="00A354DE">
            <w:pPr>
              <w:spacing w:after="40"/>
              <w:jc w:val="center"/>
              <w:rPr>
                <w:rFonts w:ascii="Calibri" w:eastAsia="Calibri" w:hAnsi="Calibri"/>
                <w:noProof/>
                <w:color w:val="004994"/>
                <w:sz w:val="18"/>
                <w:szCs w:val="18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5DB9948F" wp14:editId="33850C17">
                  <wp:extent cx="612000" cy="612000"/>
                  <wp:effectExtent l="0" t="0" r="0" b="0"/>
                  <wp:docPr id="3" name="Grafik 3" descr="GHS-Gefahrenpiktogramm &quot;Flamme&quot; (GHS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pendium.bghw.de/bghw/docs/bghw_symbib/bghw_symbib-Documents/pics/ghs_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DC8265" w14:textId="77777777" w:rsidR="003C112F" w:rsidRPr="004B1071" w:rsidRDefault="003C112F" w:rsidP="00A354DE">
            <w:pPr>
              <w:spacing w:after="40"/>
              <w:jc w:val="center"/>
              <w:rPr>
                <w:rFonts w:ascii="Calibri" w:eastAsia="Calibri" w:hAnsi="Calibri"/>
                <w:noProof/>
                <w:color w:val="004994"/>
                <w:sz w:val="18"/>
                <w:szCs w:val="18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122D958A" wp14:editId="79CE9809">
                  <wp:extent cx="612000" cy="612000"/>
                  <wp:effectExtent l="0" t="0" r="0" b="0"/>
                  <wp:docPr id="4" name="Grafik 4" descr="GHS-Gefahrenpiktogramm &quot;Umwelt&quot; (GHS0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ghs_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728323DF" w14:textId="77777777" w:rsidR="00EF2C32" w:rsidRDefault="00EF2C32" w:rsidP="00F5273E">
            <w:pPr>
              <w:pStyle w:val="Listenebene1"/>
            </w:pPr>
            <w:r>
              <w:t>Vergiftungsgefahr</w:t>
            </w:r>
          </w:p>
          <w:p w14:paraId="2C041148" w14:textId="77777777" w:rsidR="00EF2C32" w:rsidRDefault="00EF2C32" w:rsidP="00F5273E">
            <w:pPr>
              <w:pStyle w:val="Listenebene1"/>
            </w:pPr>
            <w:r>
              <w:t>Gefahr der Krebserzeugung</w:t>
            </w:r>
          </w:p>
          <w:p w14:paraId="3317C6F5" w14:textId="77777777" w:rsidR="00F5273E" w:rsidRDefault="00EF2C32" w:rsidP="00763974">
            <w:pPr>
              <w:pStyle w:val="Listenebene1"/>
            </w:pPr>
            <w:r>
              <w:t xml:space="preserve">ernste Gesundheitsschäden </w:t>
            </w:r>
            <w:r w:rsidR="00F5273E">
              <w:t>durch Einatmen der Dämpfe, durch Benetzen der Haut</w:t>
            </w:r>
            <w:r>
              <w:t xml:space="preserve"> </w:t>
            </w:r>
            <w:r w:rsidR="00F5273E">
              <w:t>und durch Verschlucken</w:t>
            </w:r>
          </w:p>
          <w:p w14:paraId="323869A4" w14:textId="77777777" w:rsidR="00EF2C32" w:rsidRDefault="00EF2C32" w:rsidP="000F5A03">
            <w:pPr>
              <w:pStyle w:val="Listenebene1"/>
            </w:pPr>
            <w:r>
              <w:t>Brandgefahr</w:t>
            </w:r>
          </w:p>
          <w:p w14:paraId="39397ABE" w14:textId="77777777" w:rsidR="00F5273E" w:rsidRDefault="00EF2C32" w:rsidP="000F5A03">
            <w:pPr>
              <w:pStyle w:val="Listenebene1"/>
            </w:pPr>
            <w:r>
              <w:t>Explosionsgefahren durch die Mischung der</w:t>
            </w:r>
            <w:r w:rsidR="00F5273E">
              <w:t xml:space="preserve"> Dämpfe von Otto-Kraftstoffen mit Luft</w:t>
            </w:r>
            <w:r>
              <w:t xml:space="preserve">; die </w:t>
            </w:r>
            <w:r w:rsidR="00F5273E">
              <w:t>Gemische</w:t>
            </w:r>
            <w:r>
              <w:t xml:space="preserve"> sind</w:t>
            </w:r>
            <w:r w:rsidR="00F5273E">
              <w:t xml:space="preserve"> schwerer als Luft und </w:t>
            </w:r>
            <w:r>
              <w:t xml:space="preserve">können </w:t>
            </w:r>
            <w:r w:rsidR="00F5273E">
              <w:t>sich deshalb in Bodennähe</w:t>
            </w:r>
            <w:r>
              <w:t xml:space="preserve"> </w:t>
            </w:r>
            <w:r w:rsidR="00F5273E">
              <w:t>und Vertiefungen ansammeln</w:t>
            </w:r>
          </w:p>
          <w:p w14:paraId="6D268D68" w14:textId="77777777" w:rsidR="00A66F28" w:rsidRPr="00F62515" w:rsidRDefault="00F5273E" w:rsidP="00F5273E">
            <w:pPr>
              <w:pStyle w:val="Listenebene1"/>
            </w:pPr>
            <w:r>
              <w:t>stark</w:t>
            </w:r>
            <w:r w:rsidR="00EF2C32">
              <w:t>e</w:t>
            </w:r>
            <w:r>
              <w:t xml:space="preserve"> </w:t>
            </w:r>
            <w:r w:rsidR="00EF2C32">
              <w:t>W</w:t>
            </w:r>
            <w:r>
              <w:t>assergefährd</w:t>
            </w:r>
            <w:r w:rsidR="00EF2C32">
              <w:t>ung</w:t>
            </w:r>
          </w:p>
        </w:tc>
      </w:tr>
      <w:tr w:rsidR="00FB079F" w14:paraId="62F5CDFA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0EAEAFB2" w14:textId="77777777" w:rsidR="00FB079F" w:rsidRPr="005F19FF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E96EC65" w14:textId="77777777" w:rsidR="00FB079F" w:rsidRPr="00E06067" w:rsidRDefault="00F12127" w:rsidP="00C82C24">
            <w:pPr>
              <w:pStyle w:val="berschrift1"/>
            </w:pPr>
            <w:r w:rsidRPr="00E06067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EF7C963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42AAE60D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0AEBE90F" w14:textId="77777777" w:rsidR="008168DD" w:rsidRDefault="003C112F" w:rsidP="00D60000">
            <w:pPr>
              <w:spacing w:before="40" w:after="40"/>
              <w:jc w:val="center"/>
              <w:rPr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5AB875C" wp14:editId="20749217">
                  <wp:extent cx="612000" cy="612000"/>
                  <wp:effectExtent l="0" t="0" r="0" b="0"/>
                  <wp:docPr id="5" name="Grafik 5" descr="Verbotszeichen &quot;Keine offene Flamme; Feuer, offene Zündquelle und Rauchen verboten&quot; (P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ompendium.bghw.de/bghw/docs/bghw_symbib/bghw_symbib-Documents/pics/verb_p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893E2" w14:textId="77777777" w:rsidR="003C112F" w:rsidRPr="004B1071" w:rsidRDefault="003C112F" w:rsidP="00A354DE">
            <w:pPr>
              <w:spacing w:after="40"/>
              <w:jc w:val="center"/>
              <w:rPr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31542A4" wp14:editId="51AA4F97">
                  <wp:extent cx="611021" cy="612000"/>
                  <wp:effectExtent l="0" t="0" r="0" b="0"/>
                  <wp:docPr id="6" name="Grafik 6" descr="Gebotszeichen &quot;Handschutz benutzen&quot;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kompendium.bghw.de/bghw/docs/bghw_symbib/bghw_symbib-Documents/pics/gebo_m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02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3C2DF7C1" w14:textId="77777777" w:rsidR="00F5273E" w:rsidRDefault="00A354DE" w:rsidP="00F5273E">
            <w:pPr>
              <w:pStyle w:val="Listenebene1"/>
            </w:pPr>
            <w:r>
              <w:t xml:space="preserve">kein </w:t>
            </w:r>
            <w:r w:rsidR="00F5273E">
              <w:t>Feuer</w:t>
            </w:r>
            <w:r w:rsidR="00013D3C">
              <w:t xml:space="preserve"> oder</w:t>
            </w:r>
            <w:r w:rsidR="00F5273E">
              <w:t xml:space="preserve"> offenes Licht </w:t>
            </w:r>
            <w:r w:rsidR="00013D3C">
              <w:t>entzünden, nicht r</w:t>
            </w:r>
            <w:r w:rsidR="00F5273E">
              <w:t>auchen</w:t>
            </w:r>
          </w:p>
          <w:p w14:paraId="4A8678DC" w14:textId="77777777" w:rsidR="00F5273E" w:rsidRDefault="00F5273E" w:rsidP="009237FF">
            <w:pPr>
              <w:pStyle w:val="Listenebene1"/>
            </w:pPr>
            <w:r>
              <w:t xml:space="preserve">Otto-Kraftstoffe </w:t>
            </w:r>
            <w:r w:rsidR="00EF2C32">
              <w:t xml:space="preserve">nicht </w:t>
            </w:r>
            <w:r>
              <w:t>zu Reinigungs-, Verdünnungs- und anderen Arbeiten</w:t>
            </w:r>
            <w:r w:rsidR="00EF2C32">
              <w:t xml:space="preserve"> verwenden</w:t>
            </w:r>
          </w:p>
          <w:p w14:paraId="23D77048" w14:textId="77777777" w:rsidR="00F5273E" w:rsidRDefault="00EF2C32" w:rsidP="00F5273E">
            <w:pPr>
              <w:pStyle w:val="Listenebene1"/>
            </w:pPr>
            <w:r>
              <w:t xml:space="preserve">beim Befüllen eines Tanks und Aufnehmen verschütteter Mengen </w:t>
            </w:r>
            <w:r w:rsidR="00F5273E">
              <w:t>Schutzhandschuhe tragen</w:t>
            </w:r>
          </w:p>
          <w:p w14:paraId="1AFB4443" w14:textId="77777777" w:rsidR="00F5273E" w:rsidRDefault="00F5273E" w:rsidP="00F5273E">
            <w:pPr>
              <w:pStyle w:val="Listenebene1"/>
            </w:pPr>
            <w:r>
              <w:t>Otto-Kraftstoffe nicht in die Kanalisation oder in Gewässer gelangen lassen</w:t>
            </w:r>
          </w:p>
          <w:p w14:paraId="34768A78" w14:textId="77777777" w:rsidR="008168DD" w:rsidRDefault="00EF2C32" w:rsidP="00F5273E">
            <w:pPr>
              <w:pStyle w:val="Listenebene1"/>
            </w:pPr>
            <w:r>
              <w:t>f</w:t>
            </w:r>
            <w:r w:rsidR="00F5273E">
              <w:t>ür ausreichende Lüftung sorgen</w:t>
            </w:r>
          </w:p>
        </w:tc>
      </w:tr>
      <w:tr w:rsidR="00F12127" w14:paraId="6312CBB6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31484D00" w14:textId="77777777" w:rsidR="00FB079F" w:rsidRPr="005F19FF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3DBECF65" w14:textId="77777777" w:rsidR="00FB079F" w:rsidRPr="00E06067" w:rsidRDefault="00F12127" w:rsidP="00C82C24">
            <w:pPr>
              <w:pStyle w:val="berschrift1"/>
            </w:pPr>
            <w:r w:rsidRPr="00E06067">
              <w:t xml:space="preserve">Verhalten </w:t>
            </w:r>
            <w:r w:rsidR="00C41755" w:rsidRPr="00E06067">
              <w:t>im Gefahrfall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C2719BA" w14:textId="77777777" w:rsidR="00FB079F" w:rsidRPr="00E06067" w:rsidRDefault="00FB079F" w:rsidP="00C82C24">
            <w:pPr>
              <w:pStyle w:val="berschrift1"/>
            </w:pPr>
          </w:p>
        </w:tc>
      </w:tr>
      <w:tr w:rsidR="009D7F7C" w14:paraId="3A007B17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</w:tcPr>
          <w:p w14:paraId="631DE878" w14:textId="77777777" w:rsidR="009D7F7C" w:rsidRPr="00D60000" w:rsidRDefault="009D7F7C" w:rsidP="00D60000">
            <w:pPr>
              <w:spacing w:before="40" w:after="40"/>
              <w:jc w:val="center"/>
              <w:rPr>
                <w:rFonts w:cs="Arial"/>
                <w:iCs/>
                <w:color w:val="004994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0D6C3E41" w14:textId="77777777" w:rsidR="00F5273E" w:rsidRDefault="00EF2C32" w:rsidP="00F5273E">
            <w:pPr>
              <w:pStyle w:val="Listenebene1"/>
            </w:pPr>
            <w:r>
              <w:t>n</w:t>
            </w:r>
            <w:r w:rsidR="00F5273E">
              <w:t>ach Verschütten/Auslaufen: Otto-Kraftstoffe mit dem bereitstehenden Binde-Granulat aufnehmen</w:t>
            </w:r>
          </w:p>
          <w:p w14:paraId="0C9D045B" w14:textId="77777777" w:rsidR="00F5273E" w:rsidRDefault="00EF2C32" w:rsidP="00F5273E">
            <w:pPr>
              <w:pStyle w:val="Listenebene1"/>
            </w:pPr>
            <w:r>
              <w:t>i</w:t>
            </w:r>
            <w:r w:rsidR="00F5273E">
              <w:t xml:space="preserve">m Brandfall: </w:t>
            </w:r>
            <w:r>
              <w:t>s</w:t>
            </w:r>
            <w:r w:rsidR="00F5273E">
              <w:t>ofort Feuerwehr alarmieren</w:t>
            </w:r>
            <w:r>
              <w:t xml:space="preserve"> (Telefonnummer)</w:t>
            </w:r>
          </w:p>
          <w:p w14:paraId="7EBCC822" w14:textId="77777777" w:rsidR="00F5273E" w:rsidRDefault="00F5273E" w:rsidP="00F5273E">
            <w:pPr>
              <w:pStyle w:val="Listenebene1"/>
            </w:pPr>
            <w:r>
              <w:t>Entstehungsbrände mit Handfeuerlöschern bekämpfen</w:t>
            </w:r>
          </w:p>
          <w:p w14:paraId="2B56BF95" w14:textId="77777777" w:rsidR="00EF2C32" w:rsidRDefault="00EF2C32" w:rsidP="00EF2C32">
            <w:pPr>
              <w:pStyle w:val="Listenebene1"/>
            </w:pPr>
            <w:r>
              <w:t>Führungskraft (Name) informieren (Telefonnummer)</w:t>
            </w:r>
          </w:p>
        </w:tc>
      </w:tr>
      <w:tr w:rsidR="009D7F7C" w14:paraId="00A8C96D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3F7EF187" w14:textId="77777777" w:rsidR="009D7F7C" w:rsidRPr="005F19FF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0404AF86" w14:textId="77777777" w:rsidR="009D7F7C" w:rsidRPr="00E06067" w:rsidRDefault="009D7F7C" w:rsidP="004B1071">
            <w:pPr>
              <w:pStyle w:val="berschrift1"/>
            </w:pPr>
            <w:r w:rsidRPr="00E06067">
              <w:t>Erste Hilfe</w:t>
            </w:r>
          </w:p>
        </w:tc>
        <w:tc>
          <w:tcPr>
            <w:tcW w:w="1224" w:type="dxa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shd w:val="clear" w:color="auto" w:fill="FABCBD"/>
            <w:vAlign w:val="center"/>
          </w:tcPr>
          <w:p w14:paraId="42CE553C" w14:textId="77777777" w:rsidR="009D7F7C" w:rsidRPr="004B1071" w:rsidRDefault="009D7F7C" w:rsidP="004B1071">
            <w:r w:rsidRPr="004B1071">
              <w:t>Notruf: 112</w:t>
            </w:r>
          </w:p>
        </w:tc>
      </w:tr>
      <w:tr w:rsidR="009D7F7C" w14:paraId="4359064D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6643F9EA" w14:textId="77777777" w:rsidR="009D7F7C" w:rsidRDefault="001F2CEC" w:rsidP="00A354DE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0DBC2EAC" wp14:editId="075735A9">
                  <wp:extent cx="612000" cy="612000"/>
                  <wp:effectExtent l="0" t="0" r="0" b="0"/>
                  <wp:docPr id="1" name="Grafik 1" descr="Rettungszeichen &quot;Erste Hilfe&quot; (E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erhi_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7835D" w14:textId="77777777" w:rsidR="003C112F" w:rsidRDefault="003C112F" w:rsidP="00A354DE">
            <w:pPr>
              <w:spacing w:after="40"/>
              <w:jc w:val="center"/>
            </w:pPr>
            <w:r>
              <w:rPr>
                <w:noProof/>
              </w:rPr>
              <w:drawing>
                <wp:inline distT="0" distB="0" distL="0" distR="0" wp14:anchorId="37B23836" wp14:editId="4B2342B6">
                  <wp:extent cx="612000" cy="612000"/>
                  <wp:effectExtent l="0" t="0" r="0" b="0"/>
                  <wp:docPr id="8" name="Grafik 8" descr="Rettungszeichen &quot;Augenspüleinrichtung&quot; (E01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pendium.bghw.de/bghw/docs/bghw_symbib/bghw_symbib-Documents/pics/erhi_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5ED767AA" w14:textId="77777777" w:rsidR="007F1477" w:rsidRDefault="007F1477" w:rsidP="007F1477">
            <w:pPr>
              <w:pStyle w:val="Listenebene1"/>
            </w:pPr>
            <w:r>
              <w:t>E</w:t>
            </w:r>
            <w:r w:rsidR="00D60000">
              <w:t>rste Hilfe leisten:</w:t>
            </w:r>
          </w:p>
          <w:p w14:paraId="08B0DFA5" w14:textId="77777777" w:rsidR="007F1477" w:rsidRDefault="007F1477" w:rsidP="007F1477">
            <w:pPr>
              <w:pStyle w:val="Listenebene2"/>
            </w:pPr>
            <w:r>
              <w:t>Erste</w:t>
            </w:r>
            <w:r w:rsidR="002A52CD">
              <w:t>-</w:t>
            </w:r>
            <w:r>
              <w:t>Hilfe-Einrichtungen</w:t>
            </w:r>
            <w:r w:rsidR="00D60000">
              <w:t xml:space="preserve">: </w:t>
            </w:r>
            <w:r w:rsidR="003D2BCB">
              <w:t>(Was ist wo?)</w:t>
            </w:r>
          </w:p>
          <w:p w14:paraId="04806C3A" w14:textId="77777777" w:rsidR="007F1477" w:rsidRDefault="007F1477" w:rsidP="007F1477">
            <w:pPr>
              <w:pStyle w:val="Listenebene2"/>
            </w:pPr>
            <w:r>
              <w:t>Ersthelferinnen und Ersthelfer</w:t>
            </w:r>
            <w:r w:rsidR="00D60000">
              <w:t>: (Namen, Telefonnummern)</w:t>
            </w:r>
          </w:p>
          <w:p w14:paraId="4DC491C9" w14:textId="77777777" w:rsidR="007F1477" w:rsidRDefault="00D60000" w:rsidP="007F1477">
            <w:pPr>
              <w:pStyle w:val="Listenebene2"/>
            </w:pPr>
            <w:r>
              <w:t>(</w:t>
            </w:r>
            <w:r w:rsidR="007F1477">
              <w:t>Notrufnummern</w:t>
            </w:r>
            <w:r>
              <w:t>)</w:t>
            </w:r>
          </w:p>
          <w:p w14:paraId="0919A603" w14:textId="77777777" w:rsidR="009D7F7C" w:rsidRDefault="007F1477" w:rsidP="007F1477">
            <w:pPr>
              <w:pStyle w:val="Listenebene2"/>
            </w:pPr>
            <w:r>
              <w:t>besondere Erste</w:t>
            </w:r>
            <w:r w:rsidR="002A52CD">
              <w:t>-</w:t>
            </w:r>
            <w:r>
              <w:t>Hilfe-Maßnahmen</w:t>
            </w:r>
            <w:r w:rsidR="00EF2C32">
              <w:t>:</w:t>
            </w:r>
          </w:p>
          <w:p w14:paraId="38027A56" w14:textId="77777777" w:rsidR="00F5273E" w:rsidRDefault="00EF2C32" w:rsidP="00EF2C32">
            <w:pPr>
              <w:pStyle w:val="Listenebene3"/>
            </w:pPr>
            <w:r>
              <w:t>n</w:t>
            </w:r>
            <w:r w:rsidR="00F5273E">
              <w:t>ach Einatmen:</w:t>
            </w:r>
            <w:r w:rsidR="00A354DE">
              <w:t xml:space="preserve"> </w:t>
            </w:r>
            <w:r w:rsidR="00F5273E">
              <w:t>Frischluft</w:t>
            </w:r>
            <w:r>
              <w:t xml:space="preserve"> zuführen</w:t>
            </w:r>
          </w:p>
          <w:p w14:paraId="521C0664" w14:textId="77777777" w:rsidR="00F5273E" w:rsidRDefault="00EF2C32" w:rsidP="00EF2C32">
            <w:pPr>
              <w:pStyle w:val="Listenebene3"/>
            </w:pPr>
            <w:r>
              <w:t>n</w:t>
            </w:r>
            <w:r w:rsidR="00F5273E">
              <w:t xml:space="preserve">ach Hautkontakt: </w:t>
            </w:r>
            <w:r>
              <w:t>s</w:t>
            </w:r>
            <w:r w:rsidR="00F5273E">
              <w:t>ofort Haut gründlich mit Wasser und Seife reinigen</w:t>
            </w:r>
          </w:p>
          <w:p w14:paraId="182DF94E" w14:textId="77777777" w:rsidR="00F5273E" w:rsidRDefault="00EF2C32" w:rsidP="00EF2C32">
            <w:pPr>
              <w:pStyle w:val="Listenebene3"/>
            </w:pPr>
            <w:r>
              <w:t>n</w:t>
            </w:r>
            <w:r w:rsidR="00F5273E">
              <w:t>ach Augenkontakt:</w:t>
            </w:r>
            <w:r>
              <w:t xml:space="preserve"> </w:t>
            </w:r>
            <w:r w:rsidR="00A354DE">
              <w:t>mindestens 10 Minuten m</w:t>
            </w:r>
            <w:r w:rsidR="00A354DE" w:rsidRPr="00C21F1D">
              <w:t>it viel Wasser spülen, bereitgestellte Augendusche benutzen, Augenärztin bzw. Augenarzt aufsuchen</w:t>
            </w:r>
            <w:r w:rsidR="00A354DE">
              <w:t xml:space="preserve"> – Gefahrstoffetikett/Sicherheitsdatenblatt mitnehmen</w:t>
            </w:r>
          </w:p>
          <w:p w14:paraId="36C1EA0C" w14:textId="77777777" w:rsidR="00F5273E" w:rsidRDefault="00EF2C32" w:rsidP="00EF2C32">
            <w:pPr>
              <w:pStyle w:val="Listenebene3"/>
            </w:pPr>
            <w:r>
              <w:t>n</w:t>
            </w:r>
            <w:r w:rsidR="00F5273E">
              <w:t>ach Verbrennungen:</w:t>
            </w:r>
            <w:r>
              <w:t xml:space="preserve"> </w:t>
            </w:r>
            <w:r w:rsidR="00F5273E">
              <w:t>betroffene Hautpartien mit Wasser kühlen</w:t>
            </w:r>
            <w:r>
              <w:t xml:space="preserve">, Ärztin bzw. </w:t>
            </w:r>
            <w:r w:rsidR="00F5273E">
              <w:t>Arzt</w:t>
            </w:r>
            <w:r>
              <w:t xml:space="preserve"> </w:t>
            </w:r>
            <w:r w:rsidR="00F5273E">
              <w:t>aufsuchen</w:t>
            </w:r>
          </w:p>
          <w:p w14:paraId="483C977D" w14:textId="77777777" w:rsidR="00F5273E" w:rsidRDefault="00013D3C" w:rsidP="00EF2C32">
            <w:pPr>
              <w:pStyle w:val="Listenebene3"/>
            </w:pPr>
            <w:r>
              <w:t>bei benetzter</w:t>
            </w:r>
            <w:r w:rsidR="00EF2C32">
              <w:t xml:space="preserve"> Kleidung: Kleidung sofort entfernen</w:t>
            </w:r>
          </w:p>
          <w:p w14:paraId="578C7B0A" w14:textId="77777777" w:rsidR="00C34132" w:rsidRDefault="00C34132" w:rsidP="00C34132">
            <w:pPr>
              <w:pStyle w:val="Listenebene1"/>
            </w:pPr>
            <w:r>
              <w:t>Erste-Hilfe-Leistungen dokumentieren</w:t>
            </w:r>
          </w:p>
        </w:tc>
      </w:tr>
      <w:tr w:rsidR="009D7F7C" w14:paraId="51D482C8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49537F61" w14:textId="77777777" w:rsidR="009D7F7C" w:rsidRPr="005F19FF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234A8A0D" w14:textId="77777777" w:rsidR="009D7F7C" w:rsidRPr="00E06067" w:rsidRDefault="00A66F28" w:rsidP="009D7F7C">
            <w:pPr>
              <w:pStyle w:val="berschrift1"/>
            </w:pPr>
            <w:r w:rsidRPr="00E06067">
              <w:t>Sachgerechte</w:t>
            </w:r>
            <w:r w:rsidR="009D7F7C" w:rsidRPr="00E06067">
              <w:t xml:space="preserve"> Entsorgung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7D9ED814" w14:textId="77777777" w:rsidR="009D7F7C" w:rsidRPr="00E06067" w:rsidRDefault="009D7F7C" w:rsidP="009D7F7C">
            <w:pPr>
              <w:pStyle w:val="berschrift1"/>
            </w:pPr>
          </w:p>
        </w:tc>
      </w:tr>
      <w:tr w:rsidR="008822F8" w14:paraId="53217358" w14:textId="77777777" w:rsidTr="00D60000">
        <w:trPr>
          <w:trHeight w:val="175"/>
        </w:trPr>
        <w:tc>
          <w:tcPr>
            <w:tcW w:w="1326" w:type="dxa"/>
            <w:tcBorders>
              <w:top w:val="nil"/>
              <w:left w:val="single" w:sz="36" w:space="0" w:color="F35449"/>
              <w:bottom w:val="single" w:sz="36" w:space="0" w:color="F35449"/>
              <w:right w:val="single" w:sz="4" w:space="0" w:color="FFFFFF" w:themeColor="background1"/>
            </w:tcBorders>
          </w:tcPr>
          <w:p w14:paraId="60AA14E3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F35449"/>
              <w:right w:val="single" w:sz="36" w:space="0" w:color="F35449"/>
            </w:tcBorders>
          </w:tcPr>
          <w:p w14:paraId="77F02752" w14:textId="77777777" w:rsidR="008822F8" w:rsidRPr="008822F8" w:rsidRDefault="00F5273E" w:rsidP="00F62515">
            <w:pPr>
              <w:pStyle w:val="Listenebene1"/>
            </w:pPr>
            <w:r>
              <w:t>v</w:t>
            </w:r>
            <w:r w:rsidRPr="00F5273E">
              <w:t>erunreinigte Kraftstoffe und benutztes Binde-Granulat in den bereitstehenden Sammelbehälter geben und separat entsorgen</w:t>
            </w:r>
          </w:p>
        </w:tc>
      </w:tr>
    </w:tbl>
    <w:p w14:paraId="4552C8DE" w14:textId="77777777" w:rsidR="000D5C63" w:rsidRDefault="00C82C24" w:rsidP="00357BA4">
      <w:r>
        <w:t>Datum, Unterschrift</w:t>
      </w:r>
    </w:p>
    <w:p w14:paraId="13F0B495" w14:textId="77777777" w:rsidR="00C82C24" w:rsidRDefault="00C82C24" w:rsidP="00357BA4"/>
    <w:p w14:paraId="144C79FE" w14:textId="77777777" w:rsidR="00C82C24" w:rsidRPr="00C82C24" w:rsidRDefault="00C82C24" w:rsidP="00C82C24">
      <w:pPr>
        <w:jc w:val="center"/>
        <w:rPr>
          <w:color w:val="808080" w:themeColor="background1" w:themeShade="80"/>
          <w:szCs w:val="18"/>
        </w:rPr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C82C24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B6C5" w14:textId="77777777" w:rsidR="00F5273E" w:rsidRDefault="00F5273E" w:rsidP="005C4990">
      <w:r>
        <w:separator/>
      </w:r>
    </w:p>
  </w:endnote>
  <w:endnote w:type="continuationSeparator" w:id="0">
    <w:p w14:paraId="193AE534" w14:textId="77777777" w:rsidR="00F5273E" w:rsidRDefault="00F5273E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6094" w14:textId="77777777" w:rsidR="00F5273E" w:rsidRDefault="00F5273E" w:rsidP="005C4990">
      <w:r>
        <w:separator/>
      </w:r>
    </w:p>
  </w:footnote>
  <w:footnote w:type="continuationSeparator" w:id="0">
    <w:p w14:paraId="3745A302" w14:textId="77777777" w:rsidR="00F5273E" w:rsidRDefault="00F5273E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7F7949"/>
    <w:multiLevelType w:val="hybridMultilevel"/>
    <w:tmpl w:val="8A5A3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01FC"/>
    <w:multiLevelType w:val="hybridMultilevel"/>
    <w:tmpl w:val="A802F0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7168E"/>
    <w:multiLevelType w:val="hybridMultilevel"/>
    <w:tmpl w:val="ED9CF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646441">
    <w:abstractNumId w:val="7"/>
  </w:num>
  <w:num w:numId="2" w16cid:durableId="912088295">
    <w:abstractNumId w:val="6"/>
  </w:num>
  <w:num w:numId="3" w16cid:durableId="562255809">
    <w:abstractNumId w:val="33"/>
  </w:num>
  <w:num w:numId="4" w16cid:durableId="114833763">
    <w:abstractNumId w:val="42"/>
  </w:num>
  <w:num w:numId="5" w16cid:durableId="714156398">
    <w:abstractNumId w:val="37"/>
  </w:num>
  <w:num w:numId="6" w16cid:durableId="725295140">
    <w:abstractNumId w:val="5"/>
  </w:num>
  <w:num w:numId="7" w16cid:durableId="2056929697">
    <w:abstractNumId w:val="18"/>
  </w:num>
  <w:num w:numId="8" w16cid:durableId="914819897">
    <w:abstractNumId w:val="0"/>
  </w:num>
  <w:num w:numId="9" w16cid:durableId="632910084">
    <w:abstractNumId w:val="13"/>
  </w:num>
  <w:num w:numId="10" w16cid:durableId="815033254">
    <w:abstractNumId w:val="21"/>
  </w:num>
  <w:num w:numId="11" w16cid:durableId="17723614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9137135">
    <w:abstractNumId w:val="36"/>
  </w:num>
  <w:num w:numId="13" w16cid:durableId="1699040618">
    <w:abstractNumId w:val="27"/>
  </w:num>
  <w:num w:numId="14" w16cid:durableId="1836649013">
    <w:abstractNumId w:val="25"/>
  </w:num>
  <w:num w:numId="15" w16cid:durableId="907107541">
    <w:abstractNumId w:val="19"/>
  </w:num>
  <w:num w:numId="16" w16cid:durableId="1968582365">
    <w:abstractNumId w:val="30"/>
  </w:num>
  <w:num w:numId="17" w16cid:durableId="1834102677">
    <w:abstractNumId w:val="14"/>
  </w:num>
  <w:num w:numId="18" w16cid:durableId="2081560909">
    <w:abstractNumId w:val="16"/>
  </w:num>
  <w:num w:numId="19" w16cid:durableId="5643036">
    <w:abstractNumId w:val="11"/>
  </w:num>
  <w:num w:numId="20" w16cid:durableId="1785272550">
    <w:abstractNumId w:val="24"/>
  </w:num>
  <w:num w:numId="21" w16cid:durableId="1326975978">
    <w:abstractNumId w:val="8"/>
  </w:num>
  <w:num w:numId="22" w16cid:durableId="650866745">
    <w:abstractNumId w:val="2"/>
  </w:num>
  <w:num w:numId="23" w16cid:durableId="1320888816">
    <w:abstractNumId w:val="28"/>
  </w:num>
  <w:num w:numId="24" w16cid:durableId="185560613">
    <w:abstractNumId w:val="1"/>
  </w:num>
  <w:num w:numId="25" w16cid:durableId="1446996365">
    <w:abstractNumId w:val="29"/>
  </w:num>
  <w:num w:numId="26" w16cid:durableId="1256287670">
    <w:abstractNumId w:val="35"/>
  </w:num>
  <w:num w:numId="27" w16cid:durableId="241646468">
    <w:abstractNumId w:val="32"/>
  </w:num>
  <w:num w:numId="28" w16cid:durableId="1806046257">
    <w:abstractNumId w:val="9"/>
  </w:num>
  <w:num w:numId="29" w16cid:durableId="11806046">
    <w:abstractNumId w:val="41"/>
  </w:num>
  <w:num w:numId="30" w16cid:durableId="837231037">
    <w:abstractNumId w:val="15"/>
  </w:num>
  <w:num w:numId="31" w16cid:durableId="1912696428">
    <w:abstractNumId w:val="12"/>
  </w:num>
  <w:num w:numId="32" w16cid:durableId="11803003">
    <w:abstractNumId w:val="34"/>
  </w:num>
  <w:num w:numId="33" w16cid:durableId="1923375158">
    <w:abstractNumId w:val="31"/>
  </w:num>
  <w:num w:numId="34" w16cid:durableId="1078791448">
    <w:abstractNumId w:val="22"/>
  </w:num>
  <w:num w:numId="35" w16cid:durableId="664670166">
    <w:abstractNumId w:val="23"/>
  </w:num>
  <w:num w:numId="36" w16cid:durableId="1153761987">
    <w:abstractNumId w:val="40"/>
  </w:num>
  <w:num w:numId="37" w16cid:durableId="39130507">
    <w:abstractNumId w:val="39"/>
  </w:num>
  <w:num w:numId="38" w16cid:durableId="280572440">
    <w:abstractNumId w:val="10"/>
  </w:num>
  <w:num w:numId="39" w16cid:durableId="2024159502">
    <w:abstractNumId w:val="3"/>
  </w:num>
  <w:num w:numId="40" w16cid:durableId="1473450144">
    <w:abstractNumId w:val="20"/>
  </w:num>
  <w:num w:numId="41" w16cid:durableId="434521979">
    <w:abstractNumId w:val="4"/>
  </w:num>
  <w:num w:numId="42" w16cid:durableId="1834643500">
    <w:abstractNumId w:val="17"/>
  </w:num>
  <w:num w:numId="43" w16cid:durableId="8539554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3E"/>
    <w:rsid w:val="0000510F"/>
    <w:rsid w:val="00013BA9"/>
    <w:rsid w:val="00013D3C"/>
    <w:rsid w:val="00014D33"/>
    <w:rsid w:val="00022C69"/>
    <w:rsid w:val="00033502"/>
    <w:rsid w:val="000356C0"/>
    <w:rsid w:val="00037B84"/>
    <w:rsid w:val="0004273C"/>
    <w:rsid w:val="00047CF0"/>
    <w:rsid w:val="00061A4C"/>
    <w:rsid w:val="00066847"/>
    <w:rsid w:val="00081BA8"/>
    <w:rsid w:val="0009389C"/>
    <w:rsid w:val="0009438D"/>
    <w:rsid w:val="000A041F"/>
    <w:rsid w:val="000A36E7"/>
    <w:rsid w:val="000A4187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CEC"/>
    <w:rsid w:val="001F4156"/>
    <w:rsid w:val="00207C33"/>
    <w:rsid w:val="0021028C"/>
    <w:rsid w:val="00212BCA"/>
    <w:rsid w:val="00214F21"/>
    <w:rsid w:val="00223EB5"/>
    <w:rsid w:val="00224679"/>
    <w:rsid w:val="0023161F"/>
    <w:rsid w:val="00234174"/>
    <w:rsid w:val="00250812"/>
    <w:rsid w:val="00256D0E"/>
    <w:rsid w:val="00260BB9"/>
    <w:rsid w:val="00271A97"/>
    <w:rsid w:val="00275C99"/>
    <w:rsid w:val="002810B5"/>
    <w:rsid w:val="00297769"/>
    <w:rsid w:val="00297E9A"/>
    <w:rsid w:val="002A52CD"/>
    <w:rsid w:val="002C1026"/>
    <w:rsid w:val="002C45F9"/>
    <w:rsid w:val="002C57E4"/>
    <w:rsid w:val="002D1ECD"/>
    <w:rsid w:val="002D6451"/>
    <w:rsid w:val="002D6A17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09D8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A3E"/>
    <w:rsid w:val="00397950"/>
    <w:rsid w:val="003A754D"/>
    <w:rsid w:val="003C112F"/>
    <w:rsid w:val="003D2BCB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AA4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1071"/>
    <w:rsid w:val="004B2696"/>
    <w:rsid w:val="004B38C6"/>
    <w:rsid w:val="004D2613"/>
    <w:rsid w:val="004D43C7"/>
    <w:rsid w:val="004F0791"/>
    <w:rsid w:val="0050297D"/>
    <w:rsid w:val="00503F1E"/>
    <w:rsid w:val="00506E6A"/>
    <w:rsid w:val="00507DB0"/>
    <w:rsid w:val="00507E0B"/>
    <w:rsid w:val="00535B94"/>
    <w:rsid w:val="00545300"/>
    <w:rsid w:val="00547F18"/>
    <w:rsid w:val="0055165D"/>
    <w:rsid w:val="005534CD"/>
    <w:rsid w:val="00574BDF"/>
    <w:rsid w:val="00585143"/>
    <w:rsid w:val="00597081"/>
    <w:rsid w:val="005C2969"/>
    <w:rsid w:val="005C4990"/>
    <w:rsid w:val="005C61EA"/>
    <w:rsid w:val="005D642B"/>
    <w:rsid w:val="005E3031"/>
    <w:rsid w:val="005E3B07"/>
    <w:rsid w:val="005E5F79"/>
    <w:rsid w:val="005E6465"/>
    <w:rsid w:val="005F19FF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7F1477"/>
    <w:rsid w:val="00806729"/>
    <w:rsid w:val="00806E03"/>
    <w:rsid w:val="00812725"/>
    <w:rsid w:val="008168DD"/>
    <w:rsid w:val="00816D6B"/>
    <w:rsid w:val="00822D9C"/>
    <w:rsid w:val="00831A85"/>
    <w:rsid w:val="008337C8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5278D"/>
    <w:rsid w:val="00963006"/>
    <w:rsid w:val="009753C8"/>
    <w:rsid w:val="00975F20"/>
    <w:rsid w:val="00980CE7"/>
    <w:rsid w:val="00986CBF"/>
    <w:rsid w:val="00992976"/>
    <w:rsid w:val="00993354"/>
    <w:rsid w:val="00995E1B"/>
    <w:rsid w:val="009A25B4"/>
    <w:rsid w:val="009B1173"/>
    <w:rsid w:val="009B1257"/>
    <w:rsid w:val="009B2584"/>
    <w:rsid w:val="009B3A74"/>
    <w:rsid w:val="009C0D9E"/>
    <w:rsid w:val="009C285C"/>
    <w:rsid w:val="009D7F7C"/>
    <w:rsid w:val="009E1A66"/>
    <w:rsid w:val="009E1A68"/>
    <w:rsid w:val="009F0404"/>
    <w:rsid w:val="009F7C97"/>
    <w:rsid w:val="00A0737C"/>
    <w:rsid w:val="00A20F17"/>
    <w:rsid w:val="00A34BA0"/>
    <w:rsid w:val="00A354DE"/>
    <w:rsid w:val="00A360DB"/>
    <w:rsid w:val="00A40AB0"/>
    <w:rsid w:val="00A52D89"/>
    <w:rsid w:val="00A534C1"/>
    <w:rsid w:val="00A60751"/>
    <w:rsid w:val="00A64FA8"/>
    <w:rsid w:val="00A66D23"/>
    <w:rsid w:val="00A66F28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C7DB6"/>
    <w:rsid w:val="00AD1730"/>
    <w:rsid w:val="00AD2CEA"/>
    <w:rsid w:val="00AD31B6"/>
    <w:rsid w:val="00AF1BF7"/>
    <w:rsid w:val="00B036DD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B6BD7"/>
    <w:rsid w:val="00BC2F86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4132"/>
    <w:rsid w:val="00C354F0"/>
    <w:rsid w:val="00C35FDC"/>
    <w:rsid w:val="00C41755"/>
    <w:rsid w:val="00C703DA"/>
    <w:rsid w:val="00C82C24"/>
    <w:rsid w:val="00C93FB9"/>
    <w:rsid w:val="00C956C5"/>
    <w:rsid w:val="00CA4EC6"/>
    <w:rsid w:val="00CB6A9A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60000"/>
    <w:rsid w:val="00D658BC"/>
    <w:rsid w:val="00D92536"/>
    <w:rsid w:val="00D95804"/>
    <w:rsid w:val="00DA7BF2"/>
    <w:rsid w:val="00DB49FD"/>
    <w:rsid w:val="00DB4E4A"/>
    <w:rsid w:val="00DB702F"/>
    <w:rsid w:val="00DD58D8"/>
    <w:rsid w:val="00E06067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2C32"/>
    <w:rsid w:val="00EF59BC"/>
    <w:rsid w:val="00EF5EDF"/>
    <w:rsid w:val="00F0111B"/>
    <w:rsid w:val="00F018AD"/>
    <w:rsid w:val="00F0638F"/>
    <w:rsid w:val="00F12127"/>
    <w:rsid w:val="00F23F52"/>
    <w:rsid w:val="00F424C7"/>
    <w:rsid w:val="00F436FA"/>
    <w:rsid w:val="00F43990"/>
    <w:rsid w:val="00F5273E"/>
    <w:rsid w:val="00F576A1"/>
    <w:rsid w:val="00F6144C"/>
    <w:rsid w:val="00F62515"/>
    <w:rsid w:val="00F72F37"/>
    <w:rsid w:val="00FB079F"/>
    <w:rsid w:val="00FB70AE"/>
    <w:rsid w:val="00FD3BE1"/>
    <w:rsid w:val="00FE7684"/>
    <w:rsid w:val="00FF2237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B5E7B5A"/>
  <w15:docId w15:val="{623D242D-6DEB-4103-A240-782C637D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C7DB6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7DB6"/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BEAF-4BD0-4B84-8099-37880C92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13-21 - Otto-Kraftstoffe - Muster-Betriebsanweisung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13-21 - Otto-Kraftstoffe - Muster-Betriebsanweisung</dc:title>
  <dc:creator>Berufsgenossenschaft Handel und Warenlogistik (BGHW)</dc:creator>
  <cp:lastModifiedBy>Richarz, Saskia</cp:lastModifiedBy>
  <cp:revision>12</cp:revision>
  <cp:lastPrinted>2021-12-08T14:52:00Z</cp:lastPrinted>
  <dcterms:created xsi:type="dcterms:W3CDTF">2024-08-29T12:57:00Z</dcterms:created>
  <dcterms:modified xsi:type="dcterms:W3CDTF">2026-03-26T14:40:00Z</dcterms:modified>
</cp:coreProperties>
</file>