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</w:tblBorders>
        <w:tblLook w:val="04A0" w:firstRow="1" w:lastRow="0" w:firstColumn="1" w:lastColumn="0" w:noHBand="0" w:noVBand="1"/>
      </w:tblPr>
      <w:tblGrid>
        <w:gridCol w:w="1326"/>
        <w:gridCol w:w="1890"/>
        <w:gridCol w:w="4252"/>
        <w:gridCol w:w="1990"/>
        <w:gridCol w:w="1224"/>
      </w:tblGrid>
      <w:tr w:rsidR="00F12127" w14:paraId="1B533D5A" w14:textId="77777777" w:rsidTr="008D58F7">
        <w:trPr>
          <w:jc w:val="center"/>
        </w:trPr>
        <w:tc>
          <w:tcPr>
            <w:tcW w:w="3216" w:type="dxa"/>
            <w:gridSpan w:val="2"/>
            <w:tcBorders>
              <w:top w:val="single" w:sz="36" w:space="0" w:color="004994"/>
              <w:left w:val="single" w:sz="36" w:space="0" w:color="004994"/>
              <w:bottom w:val="nil"/>
              <w:right w:val="nil"/>
            </w:tcBorders>
          </w:tcPr>
          <w:p w14:paraId="092807C9" w14:textId="77777777" w:rsidR="00FB079F" w:rsidRDefault="00FB079F" w:rsidP="00F11D9D">
            <w:r>
              <w:t>Firma:</w:t>
            </w:r>
          </w:p>
        </w:tc>
        <w:tc>
          <w:tcPr>
            <w:tcW w:w="4252" w:type="dxa"/>
            <w:tcBorders>
              <w:top w:val="single" w:sz="36" w:space="0" w:color="004994"/>
              <w:left w:val="nil"/>
              <w:bottom w:val="nil"/>
              <w:right w:val="nil"/>
            </w:tcBorders>
          </w:tcPr>
          <w:p w14:paraId="5FBF59E6" w14:textId="77777777" w:rsidR="00FB079F" w:rsidRPr="00BF3102" w:rsidRDefault="00FB079F" w:rsidP="00BF3102">
            <w:pPr>
              <w:pStyle w:val="Titel"/>
            </w:pPr>
            <w:r w:rsidRPr="00BF3102">
              <w:t>Betriebsanweisung</w:t>
            </w:r>
          </w:p>
          <w:p w14:paraId="4AE8A904" w14:textId="1B91A473" w:rsidR="00BF3102" w:rsidRPr="00BF3102" w:rsidRDefault="0052541D" w:rsidP="00BF3102">
            <w:pPr>
              <w:pStyle w:val="Titel"/>
            </w:pPr>
            <w:r w:rsidRPr="0052541D">
              <w:t>Li</w:t>
            </w:r>
            <w:r w:rsidR="003E56D0">
              <w:t>thium</w:t>
            </w:r>
            <w:r w:rsidRPr="0052541D">
              <w:t>-Ionen-Akkumulatoren</w:t>
            </w:r>
          </w:p>
        </w:tc>
        <w:tc>
          <w:tcPr>
            <w:tcW w:w="3214" w:type="dxa"/>
            <w:gridSpan w:val="2"/>
            <w:tcBorders>
              <w:top w:val="single" w:sz="36" w:space="0" w:color="004994"/>
              <w:left w:val="nil"/>
              <w:bottom w:val="nil"/>
              <w:right w:val="single" w:sz="36" w:space="0" w:color="004994"/>
            </w:tcBorders>
          </w:tcPr>
          <w:p w14:paraId="5AA8DDD6" w14:textId="57171030" w:rsidR="00FB079F" w:rsidRDefault="00FB079F" w:rsidP="00F11D9D">
            <w:pPr>
              <w:jc w:val="right"/>
            </w:pPr>
            <w:r>
              <w:t>Stand: TT.MM.</w:t>
            </w:r>
            <w:r w:rsidR="007D229B">
              <w:t>JJJJ</w:t>
            </w:r>
          </w:p>
        </w:tc>
      </w:tr>
      <w:tr w:rsidR="00FB079F" w14:paraId="460C9D84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3655AAB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42543C12" w14:textId="77777777" w:rsidR="00FB079F" w:rsidRPr="00F11D9D" w:rsidRDefault="00F12127" w:rsidP="00F11D9D">
            <w:pPr>
              <w:pStyle w:val="berschrift1"/>
            </w:pPr>
            <w:r w:rsidRPr="00F11D9D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3491523C" w14:textId="77777777" w:rsidR="00FB079F" w:rsidRDefault="00FB079F" w:rsidP="00F11D9D">
            <w:pPr>
              <w:pStyle w:val="berschrift1"/>
            </w:pPr>
          </w:p>
        </w:tc>
      </w:tr>
      <w:tr w:rsidR="008168DD" w14:paraId="47045438" w14:textId="77777777" w:rsidTr="000A3CE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004994"/>
              <w:bottom w:val="nil"/>
              <w:right w:val="single" w:sz="36" w:space="0" w:color="004994"/>
            </w:tcBorders>
          </w:tcPr>
          <w:p w14:paraId="6D03A2FF" w14:textId="77777777" w:rsidR="008168DD" w:rsidRPr="0057075B" w:rsidRDefault="008168DD" w:rsidP="00F11D9D">
            <w:r w:rsidRPr="0057075B">
              <w:t>Betrieb</w:t>
            </w:r>
            <w:r w:rsidR="0008036B">
              <w:t>:</w:t>
            </w:r>
          </w:p>
          <w:p w14:paraId="3F910CDE" w14:textId="77777777" w:rsidR="008168DD" w:rsidRPr="0057075B" w:rsidRDefault="008168DD" w:rsidP="00F11D9D">
            <w:r w:rsidRPr="0057075B">
              <w:t>Arbeitsbereich, Arbeitsplatz</w:t>
            </w:r>
            <w:r w:rsidR="0008036B">
              <w:t>:</w:t>
            </w:r>
          </w:p>
          <w:p w14:paraId="3AA780C8" w14:textId="6EC70E0E" w:rsidR="008168DD" w:rsidRPr="0052541D" w:rsidRDefault="008168DD" w:rsidP="0052541D">
            <w:pPr>
              <w:rPr>
                <w:lang w:eastAsia="ar-SA"/>
              </w:rPr>
            </w:pPr>
            <w:r w:rsidRPr="00F11D9D">
              <w:t>Tätigkeit</w:t>
            </w:r>
            <w:r w:rsidR="0008036B">
              <w:t>:</w:t>
            </w:r>
            <w:r w:rsidR="0052541D">
              <w:t xml:space="preserve"> </w:t>
            </w:r>
            <w:r w:rsidR="0052541D" w:rsidRPr="0052541D">
              <w:rPr>
                <w:lang w:eastAsia="ar-SA"/>
              </w:rPr>
              <w:t>Umgang mit Lithium-Ionen-Akkumulatoren (Li-Ionen-Akkus)</w:t>
            </w:r>
          </w:p>
        </w:tc>
      </w:tr>
      <w:tr w:rsidR="00FB079F" w14:paraId="67E01ADE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C1FC0D6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9359913" w14:textId="77777777" w:rsidR="00FB079F" w:rsidRPr="00F11D9D" w:rsidRDefault="00F12127" w:rsidP="00F11D9D">
            <w:pPr>
              <w:pStyle w:val="berschrift1"/>
            </w:pPr>
            <w:r w:rsidRPr="00F11D9D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583E44BE" w14:textId="77777777" w:rsidR="00FB079F" w:rsidRDefault="00FB079F" w:rsidP="00F11D9D">
            <w:pPr>
              <w:pStyle w:val="berschrift1"/>
            </w:pPr>
          </w:p>
        </w:tc>
      </w:tr>
      <w:tr w:rsidR="008168DD" w14:paraId="61BCAD24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5DD255F6" w14:textId="77777777" w:rsidR="008168DD" w:rsidRPr="00CE3DF3" w:rsidRDefault="0052541D" w:rsidP="00245F96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CE3DF3">
              <w:rPr>
                <w:noProof/>
              </w:rPr>
              <w:drawing>
                <wp:inline distT="0" distB="0" distL="0" distR="0" wp14:anchorId="7F2984C4" wp14:editId="0A9F81A8">
                  <wp:extent cx="612000" cy="536112"/>
                  <wp:effectExtent l="0" t="0" r="0" b="0"/>
                  <wp:docPr id="58" name="Grafik 58" descr="Warnzeichen „Warnung vor ätzenden Stoffen“ (W023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DC2513" w14:textId="77777777" w:rsidR="0052541D" w:rsidRPr="00CE3DF3" w:rsidRDefault="0052541D" w:rsidP="00245F96">
            <w:pPr>
              <w:spacing w:after="40"/>
              <w:jc w:val="center"/>
              <w:rPr>
                <w:i/>
                <w:sz w:val="18"/>
                <w:szCs w:val="18"/>
              </w:rPr>
            </w:pPr>
            <w:r w:rsidRPr="00CE3DF3">
              <w:rPr>
                <w:noProof/>
              </w:rPr>
              <w:drawing>
                <wp:inline distT="0" distB="0" distL="0" distR="0" wp14:anchorId="7265D2FF" wp14:editId="475C79B9">
                  <wp:extent cx="612000" cy="536112"/>
                  <wp:effectExtent l="0" t="0" r="0" b="0"/>
                  <wp:docPr id="24" name="Grafik 24" descr="Warnzeichen „Warnung feuergefährlichen Stoffen“ (W02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A10A49" w14:textId="77777777" w:rsidR="0052541D" w:rsidRPr="00CE3DF3" w:rsidRDefault="0052541D" w:rsidP="00245F96">
            <w:pPr>
              <w:spacing w:after="40"/>
              <w:jc w:val="center"/>
              <w:rPr>
                <w:i/>
                <w:sz w:val="18"/>
                <w:szCs w:val="18"/>
              </w:rPr>
            </w:pPr>
            <w:r w:rsidRPr="00CE3DF3">
              <w:rPr>
                <w:noProof/>
              </w:rPr>
              <w:drawing>
                <wp:inline distT="0" distB="0" distL="0" distR="0" wp14:anchorId="2532ECD9" wp14:editId="7DA06555">
                  <wp:extent cx="612000" cy="536112"/>
                  <wp:effectExtent l="0" t="0" r="0" b="0"/>
                  <wp:docPr id="27" name="Grafik 27" descr="Warnzeichen „Warnung vor giftigen Stoffen“ (W016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DD73A4" w14:textId="032FCA0B" w:rsidR="0052541D" w:rsidRPr="00CE3DF3" w:rsidRDefault="0052541D" w:rsidP="00245F96">
            <w:pPr>
              <w:spacing w:after="40"/>
              <w:jc w:val="center"/>
              <w:rPr>
                <w:i/>
                <w:sz w:val="18"/>
                <w:szCs w:val="18"/>
              </w:rPr>
            </w:pPr>
            <w:r w:rsidRPr="00CE3DF3">
              <w:rPr>
                <w:noProof/>
              </w:rPr>
              <w:drawing>
                <wp:inline distT="0" distB="0" distL="0" distR="0" wp14:anchorId="5B66B088" wp14:editId="199FABFC">
                  <wp:extent cx="612000" cy="536112"/>
                  <wp:effectExtent l="0" t="0" r="0" b="0"/>
                  <wp:docPr id="49" name="Grafik 49" descr="Warnzeichen „Warnung vor elektrischer Spannung“ (W012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1E909108" w14:textId="3B0EE059" w:rsidR="0052541D" w:rsidRDefault="00A37248" w:rsidP="0052541D">
            <w:pPr>
              <w:pStyle w:val="Listenebene1"/>
            </w:pPr>
            <w:r>
              <w:t>Zerstörung des Akkus durch m</w:t>
            </w:r>
            <w:r w:rsidR="0052541D">
              <w:t>echanische, thermische oder elektrische Belastungen</w:t>
            </w:r>
            <w:r w:rsidR="003E56D0">
              <w:t xml:space="preserve">, </w:t>
            </w:r>
            <w:r w:rsidR="0052541D">
              <w:t>z.</w:t>
            </w:r>
            <w:r w:rsidR="003E56D0">
              <w:t xml:space="preserve"> </w:t>
            </w:r>
            <w:r w:rsidR="0052541D">
              <w:t>B. Stöße, Vibrationen, Hitze, Kälte, falsche Ladung</w:t>
            </w:r>
            <w:r w:rsidR="00DF2F26">
              <w:t xml:space="preserve"> oder</w:t>
            </w:r>
            <w:r w:rsidR="0052541D">
              <w:t xml:space="preserve"> Kurzschluss der Pole</w:t>
            </w:r>
            <w:r w:rsidR="00DF2F26">
              <w:t xml:space="preserve"> – </w:t>
            </w:r>
            <w:r w:rsidR="0052541D">
              <w:t>hierbei kommt es zu:</w:t>
            </w:r>
          </w:p>
          <w:p w14:paraId="6C0583CD" w14:textId="08A4D8E9" w:rsidR="0052541D" w:rsidRDefault="0052541D" w:rsidP="0052541D">
            <w:pPr>
              <w:pStyle w:val="Listenebene2"/>
            </w:pPr>
            <w:r>
              <w:t>einem Austritt von ätzender Flüssigkeit</w:t>
            </w:r>
            <w:r w:rsidR="00D152C1">
              <w:t xml:space="preserve">, </w:t>
            </w:r>
            <w:r w:rsidR="003E56D0">
              <w:t>d</w:t>
            </w:r>
            <w:r>
              <w:t>ie Hautreizungen, Verbrennungen und Verätzungen hervorrufen</w:t>
            </w:r>
            <w:r w:rsidR="00D152C1">
              <w:t xml:space="preserve"> kann</w:t>
            </w:r>
          </w:p>
          <w:p w14:paraId="2A9E43FD" w14:textId="6CD98A13" w:rsidR="0052541D" w:rsidRDefault="0052541D" w:rsidP="0052541D">
            <w:pPr>
              <w:pStyle w:val="Listenebene2"/>
            </w:pPr>
            <w:r>
              <w:t>einer erhöhten Brandgefährdung durch Austritt des Elektrolyten</w:t>
            </w:r>
            <w:r w:rsidR="00A37248">
              <w:t xml:space="preserve">, der aus einem </w:t>
            </w:r>
            <w:r>
              <w:t>brennbare</w:t>
            </w:r>
            <w:r w:rsidR="00A37248">
              <w:t>n</w:t>
            </w:r>
            <w:r>
              <w:t xml:space="preserve"> Lösungsmittel</w:t>
            </w:r>
            <w:r w:rsidR="00A37248">
              <w:t xml:space="preserve"> besteht</w:t>
            </w:r>
          </w:p>
          <w:p w14:paraId="4D212DA2" w14:textId="6C7B48E8" w:rsidR="0052541D" w:rsidRDefault="0052541D" w:rsidP="0052541D">
            <w:pPr>
              <w:pStyle w:val="Listenebene2"/>
            </w:pPr>
            <w:r>
              <w:t>einem Austritt giftiger Inhaltsstoffe bzw. Verbrennungsprodukte im Brandfall</w:t>
            </w:r>
          </w:p>
          <w:p w14:paraId="56AA639F" w14:textId="417B5CE1" w:rsidR="008168DD" w:rsidRDefault="0052541D" w:rsidP="0052541D">
            <w:pPr>
              <w:pStyle w:val="Listenebene2"/>
            </w:pPr>
            <w:r>
              <w:t>Gefahr durch elektrische Spannung</w:t>
            </w:r>
          </w:p>
        </w:tc>
      </w:tr>
      <w:tr w:rsidR="00FB079F" w14:paraId="15708E7E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1E4B2AE0" w14:textId="77777777" w:rsidR="00FB079F" w:rsidRPr="00CE3DF3" w:rsidRDefault="00FB079F" w:rsidP="00451D53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44B8A353" w14:textId="77777777" w:rsidR="00FB079F" w:rsidRPr="00F11D9D" w:rsidRDefault="00F12127" w:rsidP="00F11D9D">
            <w:pPr>
              <w:pStyle w:val="berschrift1"/>
            </w:pPr>
            <w:r w:rsidRPr="00F11D9D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7A5E79B8" w14:textId="77777777" w:rsidR="00FB079F" w:rsidRPr="00C82C24" w:rsidRDefault="00FB079F" w:rsidP="00F11D9D">
            <w:pPr>
              <w:pStyle w:val="berschrift1"/>
            </w:pPr>
          </w:p>
        </w:tc>
      </w:tr>
      <w:tr w:rsidR="008168DD" w14:paraId="7A7FE1EE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6BDED77E" w14:textId="77777777" w:rsidR="008168DD" w:rsidRPr="00CE3DF3" w:rsidRDefault="0052541D" w:rsidP="00245F96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CE3DF3">
              <w:rPr>
                <w:noProof/>
              </w:rPr>
              <w:drawing>
                <wp:inline distT="0" distB="0" distL="0" distR="0" wp14:anchorId="3F35D646" wp14:editId="0F6A0743">
                  <wp:extent cx="612000" cy="613226"/>
                  <wp:effectExtent l="0" t="0" r="0" b="0"/>
                  <wp:docPr id="47" name="Grafik 47" descr="Gebotszeichen „Allgemeines Gebotszeichen“ (M00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E1EA97" w14:textId="77777777" w:rsidR="0052541D" w:rsidRPr="00CE3DF3" w:rsidRDefault="0052541D" w:rsidP="00245F96">
            <w:pPr>
              <w:spacing w:after="40"/>
              <w:jc w:val="center"/>
              <w:rPr>
                <w:i/>
                <w:sz w:val="18"/>
                <w:szCs w:val="18"/>
              </w:rPr>
            </w:pPr>
            <w:r w:rsidRPr="00CE3DF3">
              <w:rPr>
                <w:noProof/>
              </w:rPr>
              <w:drawing>
                <wp:inline distT="0" distB="0" distL="0" distR="0" wp14:anchorId="35935315" wp14:editId="6FE72F15">
                  <wp:extent cx="612000" cy="613226"/>
                  <wp:effectExtent l="0" t="0" r="0" b="0"/>
                  <wp:docPr id="5" name="Grafik 5" descr="Gebotszeichen „Handschutz benutzen“ (M009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960970" w14:textId="3F7CB834" w:rsidR="0052541D" w:rsidRPr="00CE3DF3" w:rsidRDefault="0052541D" w:rsidP="00245F96">
            <w:pPr>
              <w:spacing w:after="40"/>
              <w:jc w:val="center"/>
              <w:rPr>
                <w:i/>
                <w:sz w:val="18"/>
                <w:szCs w:val="18"/>
              </w:rPr>
            </w:pPr>
            <w:r w:rsidRPr="00CE3DF3">
              <w:rPr>
                <w:noProof/>
              </w:rPr>
              <w:drawing>
                <wp:inline distT="0" distB="0" distL="0" distR="0" wp14:anchorId="2EB38100" wp14:editId="3768BC3C">
                  <wp:extent cx="612000" cy="613226"/>
                  <wp:effectExtent l="0" t="0" r="0" b="0"/>
                  <wp:docPr id="42" name="Grafik 42" descr="Gebotszeichen „Gesichtsschutz benutzen“ (M013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4D96E345" w14:textId="79A225FB" w:rsidR="0052541D" w:rsidRPr="0052541D" w:rsidRDefault="0052541D" w:rsidP="0052541D">
            <w:pPr>
              <w:pStyle w:val="Listenebene1"/>
              <w:rPr>
                <w:lang w:eastAsia="de-DE"/>
              </w:rPr>
            </w:pPr>
            <w:r w:rsidRPr="0052541D">
              <w:rPr>
                <w:lang w:eastAsia="de-DE"/>
              </w:rPr>
              <w:t>Betriebsanleitung/Sicherheitsdatenblatt des Herstellers beachten</w:t>
            </w:r>
          </w:p>
          <w:p w14:paraId="3099A31C" w14:textId="31D98D29" w:rsidR="0052541D" w:rsidRPr="0052541D" w:rsidRDefault="00F13397" w:rsidP="0052541D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n</w:t>
            </w:r>
            <w:r w:rsidR="0052541D" w:rsidRPr="0052541D">
              <w:rPr>
                <w:lang w:eastAsia="de-DE"/>
              </w:rPr>
              <w:t>ur vom Hersteller freigegebene Ladegeräte benutzen</w:t>
            </w:r>
          </w:p>
          <w:p w14:paraId="1113493C" w14:textId="0FD8886C" w:rsidR="0052541D" w:rsidRPr="0052541D" w:rsidRDefault="0052541D" w:rsidP="0052541D">
            <w:pPr>
              <w:pStyle w:val="Listenebene1"/>
              <w:rPr>
                <w:lang w:eastAsia="de-DE"/>
              </w:rPr>
            </w:pPr>
            <w:r w:rsidRPr="0052541D">
              <w:rPr>
                <w:lang w:eastAsia="de-DE"/>
              </w:rPr>
              <w:t>Li-Ionen-Akkus vor mechanischer Belastung</w:t>
            </w:r>
            <w:r w:rsidR="00A37248">
              <w:rPr>
                <w:lang w:eastAsia="de-DE"/>
              </w:rPr>
              <w:t xml:space="preserve"> schützen, d. h. </w:t>
            </w:r>
            <w:r w:rsidRPr="0052541D">
              <w:rPr>
                <w:lang w:eastAsia="de-DE"/>
              </w:rPr>
              <w:t>Stöße</w:t>
            </w:r>
            <w:r w:rsidR="00A37248">
              <w:rPr>
                <w:lang w:eastAsia="de-DE"/>
              </w:rPr>
              <w:t>n</w:t>
            </w:r>
            <w:r w:rsidRPr="0052541D">
              <w:rPr>
                <w:lang w:eastAsia="de-DE"/>
              </w:rPr>
              <w:t>, Stürze</w:t>
            </w:r>
            <w:r w:rsidR="00A37248">
              <w:rPr>
                <w:lang w:eastAsia="de-DE"/>
              </w:rPr>
              <w:t>n</w:t>
            </w:r>
            <w:r w:rsidRPr="0052541D">
              <w:rPr>
                <w:lang w:eastAsia="de-DE"/>
              </w:rPr>
              <w:t>, Vibrationen</w:t>
            </w:r>
          </w:p>
          <w:p w14:paraId="2BED3107" w14:textId="77777777" w:rsidR="0052541D" w:rsidRPr="0052541D" w:rsidRDefault="0052541D" w:rsidP="0052541D">
            <w:pPr>
              <w:pStyle w:val="Listenebene1"/>
              <w:rPr>
                <w:lang w:eastAsia="de-DE"/>
              </w:rPr>
            </w:pPr>
            <w:r w:rsidRPr="0052541D">
              <w:rPr>
                <w:lang w:eastAsia="de-DE"/>
              </w:rPr>
              <w:t>Batteriepole vor Kurzschluss schützen</w:t>
            </w:r>
          </w:p>
          <w:p w14:paraId="457EB628" w14:textId="77777777" w:rsidR="0052541D" w:rsidRPr="0052541D" w:rsidRDefault="0052541D" w:rsidP="0052541D">
            <w:pPr>
              <w:pStyle w:val="Listenebene1"/>
              <w:rPr>
                <w:lang w:eastAsia="de-DE"/>
              </w:rPr>
            </w:pPr>
            <w:r w:rsidRPr="0052541D">
              <w:rPr>
                <w:lang w:eastAsia="de-DE"/>
              </w:rPr>
              <w:t>Li-Ionen-Akkus nicht unmittelbar und dauerhaft hohen Temperaturen aussetzen</w:t>
            </w:r>
          </w:p>
          <w:p w14:paraId="20943B20" w14:textId="2BFBAD33" w:rsidR="00F73C93" w:rsidRDefault="0052541D" w:rsidP="00F73C93">
            <w:pPr>
              <w:pStyle w:val="Listenebene1"/>
              <w:rPr>
                <w:lang w:eastAsia="de-DE"/>
              </w:rPr>
            </w:pPr>
            <w:r w:rsidRPr="0052541D">
              <w:rPr>
                <w:lang w:eastAsia="de-DE"/>
              </w:rPr>
              <w:t xml:space="preserve">Li-Ionen-Akkus regelmäßig </w:t>
            </w:r>
            <w:r w:rsidR="004F645A">
              <w:rPr>
                <w:lang w:eastAsia="de-DE"/>
              </w:rPr>
              <w:t xml:space="preserve">(Zeitraum) </w:t>
            </w:r>
            <w:r w:rsidRPr="0052541D">
              <w:rPr>
                <w:lang w:eastAsia="de-DE"/>
              </w:rPr>
              <w:t>auf Beschädigungen kontrollieren</w:t>
            </w:r>
          </w:p>
          <w:p w14:paraId="1998E405" w14:textId="5A41EBCD" w:rsidR="0052541D" w:rsidRPr="0052541D" w:rsidRDefault="0052541D" w:rsidP="0052541D">
            <w:pPr>
              <w:pStyle w:val="Listenebene1"/>
              <w:rPr>
                <w:lang w:eastAsia="de-DE"/>
              </w:rPr>
            </w:pPr>
            <w:r w:rsidRPr="0052541D">
              <w:rPr>
                <w:lang w:eastAsia="de-DE"/>
              </w:rPr>
              <w:t>Lagerung und Nachladen in feuerbeständig</w:t>
            </w:r>
            <w:r w:rsidR="00A37248">
              <w:rPr>
                <w:lang w:eastAsia="de-DE"/>
              </w:rPr>
              <w:t>en</w:t>
            </w:r>
            <w:r w:rsidRPr="0052541D">
              <w:rPr>
                <w:lang w:eastAsia="de-DE"/>
              </w:rPr>
              <w:t xml:space="preserve"> bzw. räumlich abgetrennten Räumen oder Bereichen</w:t>
            </w:r>
          </w:p>
          <w:p w14:paraId="04C7AA46" w14:textId="194D9C05" w:rsidR="0052541D" w:rsidRPr="0052541D" w:rsidRDefault="0052541D" w:rsidP="00F73C93">
            <w:pPr>
              <w:pStyle w:val="Listenebene1"/>
              <w:rPr>
                <w:lang w:eastAsia="de-DE"/>
              </w:rPr>
            </w:pPr>
            <w:r w:rsidRPr="0052541D">
              <w:rPr>
                <w:lang w:eastAsia="de-DE"/>
              </w:rPr>
              <w:t>Li-Ionen-Akkus nicht in der Nähe brennbarer Materialien lagern</w:t>
            </w:r>
            <w:r w:rsidR="00A37248">
              <w:rPr>
                <w:lang w:eastAsia="de-DE"/>
              </w:rPr>
              <w:t xml:space="preserve">; </w:t>
            </w:r>
            <w:r w:rsidRPr="00A37248">
              <w:rPr>
                <w:spacing w:val="-8"/>
                <w:lang w:eastAsia="de-DE"/>
              </w:rPr>
              <w:t>Sicherheitsabstand</w:t>
            </w:r>
            <w:r w:rsidRPr="0052541D">
              <w:rPr>
                <w:lang w:eastAsia="de-DE"/>
              </w:rPr>
              <w:t xml:space="preserve"> mind</w:t>
            </w:r>
            <w:r w:rsidR="00A37248">
              <w:rPr>
                <w:lang w:eastAsia="de-DE"/>
              </w:rPr>
              <w:t>estens</w:t>
            </w:r>
            <w:r w:rsidRPr="0052541D">
              <w:rPr>
                <w:lang w:eastAsia="de-DE"/>
              </w:rPr>
              <w:t xml:space="preserve"> 2,5 </w:t>
            </w:r>
            <w:r w:rsidR="00A37248">
              <w:rPr>
                <w:lang w:eastAsia="de-DE"/>
              </w:rPr>
              <w:t>m</w:t>
            </w:r>
          </w:p>
          <w:p w14:paraId="7ADBF287" w14:textId="7A0B1972" w:rsidR="0052541D" w:rsidRPr="0052541D" w:rsidRDefault="00A37248" w:rsidP="0052541D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 xml:space="preserve">keine </w:t>
            </w:r>
            <w:r w:rsidR="0052541D" w:rsidRPr="0052541D">
              <w:rPr>
                <w:lang w:eastAsia="de-DE"/>
              </w:rPr>
              <w:t xml:space="preserve">Mischlagerung mit anderen Produkten </w:t>
            </w:r>
            <w:r>
              <w:rPr>
                <w:lang w:eastAsia="de-DE"/>
              </w:rPr>
              <w:t>zulassen</w:t>
            </w:r>
          </w:p>
          <w:p w14:paraId="62F42099" w14:textId="77777777" w:rsidR="0052541D" w:rsidRPr="0052541D" w:rsidRDefault="0052541D" w:rsidP="0052541D">
            <w:pPr>
              <w:pStyle w:val="Listenebene1"/>
              <w:rPr>
                <w:lang w:eastAsia="de-DE"/>
              </w:rPr>
            </w:pPr>
            <w:r w:rsidRPr="0052541D">
              <w:rPr>
                <w:lang w:eastAsia="de-DE"/>
              </w:rPr>
              <w:t>Lagerraum ausreichend belüften</w:t>
            </w:r>
          </w:p>
          <w:p w14:paraId="4A937BA7" w14:textId="5BC5D083" w:rsidR="0052541D" w:rsidRPr="0052541D" w:rsidRDefault="0052541D" w:rsidP="0052541D">
            <w:pPr>
              <w:pStyle w:val="Listenebene1"/>
              <w:rPr>
                <w:lang w:eastAsia="de-DE"/>
              </w:rPr>
            </w:pPr>
            <w:r w:rsidRPr="0052541D">
              <w:rPr>
                <w:lang w:eastAsia="de-DE"/>
              </w:rPr>
              <w:t xml:space="preserve">geeignete Feuerlöscher </w:t>
            </w:r>
            <w:r w:rsidR="00A37248">
              <w:rPr>
                <w:lang w:eastAsia="de-DE"/>
              </w:rPr>
              <w:t xml:space="preserve">bereitstellen – siehe </w:t>
            </w:r>
            <w:r w:rsidRPr="0052541D">
              <w:rPr>
                <w:lang w:eastAsia="de-DE"/>
              </w:rPr>
              <w:t>Sicherheitsdatenblätter</w:t>
            </w:r>
          </w:p>
          <w:p w14:paraId="2833CA86" w14:textId="5FC52F0B" w:rsidR="00F73C93" w:rsidRDefault="0052541D" w:rsidP="00F73C93">
            <w:pPr>
              <w:pStyle w:val="Listenebene1"/>
              <w:rPr>
                <w:lang w:eastAsia="de-DE"/>
              </w:rPr>
            </w:pPr>
            <w:r w:rsidRPr="0052541D">
              <w:rPr>
                <w:lang w:eastAsia="de-DE"/>
              </w:rPr>
              <w:t>defekte Li-Ionen-Akkus</w:t>
            </w:r>
            <w:r w:rsidR="00A37248">
              <w:rPr>
                <w:lang w:eastAsia="de-DE"/>
              </w:rPr>
              <w:t xml:space="preserve"> u</w:t>
            </w:r>
            <w:r w:rsidR="00A37248" w:rsidRPr="0052541D">
              <w:rPr>
                <w:lang w:eastAsia="de-DE"/>
              </w:rPr>
              <w:t>mgehend fachgerecht</w:t>
            </w:r>
            <w:r w:rsidR="00A37248">
              <w:rPr>
                <w:lang w:eastAsia="de-DE"/>
              </w:rPr>
              <w:t xml:space="preserve"> entsorgen</w:t>
            </w:r>
          </w:p>
          <w:p w14:paraId="11F4E19C" w14:textId="2AAA97EF" w:rsidR="008168DD" w:rsidRDefault="0052541D" w:rsidP="00F73C93">
            <w:pPr>
              <w:pStyle w:val="Listenebene1"/>
              <w:rPr>
                <w:lang w:eastAsia="de-DE"/>
              </w:rPr>
            </w:pPr>
            <w:r w:rsidRPr="0052541D">
              <w:rPr>
                <w:lang w:eastAsia="de-DE"/>
              </w:rPr>
              <w:t>Persönliche Schutzausrüstung benutzen</w:t>
            </w:r>
          </w:p>
        </w:tc>
      </w:tr>
      <w:tr w:rsidR="00F12127" w14:paraId="00DD9F29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170B5383" w14:textId="77777777" w:rsidR="00FB079F" w:rsidRPr="00CE3DF3" w:rsidRDefault="00FB079F" w:rsidP="00451D53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288F795F" w14:textId="77777777" w:rsidR="00FB079F" w:rsidRPr="00F11D9D" w:rsidRDefault="00F12127" w:rsidP="00F11D9D">
            <w:pPr>
              <w:pStyle w:val="berschrift1"/>
            </w:pPr>
            <w:r w:rsidRPr="00F11D9D">
              <w:t>Verhalten bei Störungen und</w:t>
            </w:r>
            <w:r w:rsidR="00C41755" w:rsidRPr="00F11D9D">
              <w:t xml:space="preserve"> im Gefahrfall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232FEE81" w14:textId="77777777" w:rsidR="00FB079F" w:rsidRDefault="00FB079F" w:rsidP="00F11D9D">
            <w:pPr>
              <w:pStyle w:val="berschrift1"/>
            </w:pPr>
          </w:p>
        </w:tc>
      </w:tr>
      <w:tr w:rsidR="009D7F7C" w14:paraId="438AF751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105F91D8" w14:textId="259D2562" w:rsidR="009D7F7C" w:rsidRPr="00CE3DF3" w:rsidRDefault="009D7F7C" w:rsidP="007D22D7">
            <w:pPr>
              <w:spacing w:after="2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27132A7D" w14:textId="50F5647D" w:rsidR="00A37248" w:rsidRDefault="007142AD" w:rsidP="00A37248">
            <w:pPr>
              <w:pStyle w:val="Listenebene1"/>
              <w:rPr>
                <w:lang w:eastAsia="de-DE"/>
              </w:rPr>
            </w:pPr>
            <w:r>
              <w:t>Führungskraft (Name) informieren (Tel</w:t>
            </w:r>
            <w:r w:rsidR="00F06650">
              <w:t>efonnummer</w:t>
            </w:r>
            <w:r>
              <w:t>)</w:t>
            </w:r>
          </w:p>
          <w:p w14:paraId="1C7382EC" w14:textId="3B0EC8C5" w:rsidR="009D7F7C" w:rsidRDefault="00A37248" w:rsidP="00A37248">
            <w:pPr>
              <w:pStyle w:val="Listenebene1"/>
              <w:rPr>
                <w:lang w:eastAsia="de-DE"/>
              </w:rPr>
            </w:pPr>
            <w:r w:rsidRPr="00F73C93">
              <w:rPr>
                <w:lang w:eastAsia="de-DE"/>
              </w:rPr>
              <w:t xml:space="preserve">Akkumulator </w:t>
            </w:r>
            <w:r w:rsidR="00575813" w:rsidRPr="00F73C93">
              <w:rPr>
                <w:lang w:eastAsia="de-DE"/>
              </w:rPr>
              <w:t xml:space="preserve">vom Gerät trennen </w:t>
            </w:r>
            <w:r>
              <w:rPr>
                <w:lang w:eastAsia="de-DE"/>
              </w:rPr>
              <w:t>bei</w:t>
            </w:r>
            <w:r w:rsidRPr="00F73C93">
              <w:rPr>
                <w:lang w:eastAsia="de-DE"/>
              </w:rPr>
              <w:t xml:space="preserve"> Anzeichen von Rauch-, Hitze-, Geruch-</w:t>
            </w:r>
            <w:r w:rsidR="00575813">
              <w:rPr>
                <w:lang w:eastAsia="de-DE"/>
              </w:rPr>
              <w:t>,</w:t>
            </w:r>
            <w:r w:rsidRPr="00F73C93">
              <w:rPr>
                <w:lang w:eastAsia="de-DE"/>
              </w:rPr>
              <w:t xml:space="preserve"> Geräuschentwicklung oder Deformation</w:t>
            </w:r>
            <w:r w:rsidR="00575813">
              <w:rPr>
                <w:lang w:eastAsia="de-DE"/>
              </w:rPr>
              <w:t>,</w:t>
            </w:r>
            <w:r w:rsidRPr="00F73C93">
              <w:rPr>
                <w:lang w:eastAsia="de-DE"/>
              </w:rPr>
              <w:t xml:space="preserve"> und umgehend an einen sicheren Aufbewahrungsort ablegen</w:t>
            </w:r>
            <w:r>
              <w:rPr>
                <w:lang w:eastAsia="de-DE"/>
              </w:rPr>
              <w:t xml:space="preserve">, </w:t>
            </w:r>
            <w:r w:rsidRPr="00F73C93">
              <w:rPr>
                <w:lang w:eastAsia="de-DE"/>
              </w:rPr>
              <w:t>z.</w:t>
            </w:r>
            <w:r>
              <w:rPr>
                <w:lang w:eastAsia="de-DE"/>
              </w:rPr>
              <w:t xml:space="preserve"> </w:t>
            </w:r>
            <w:r w:rsidRPr="00F73C93">
              <w:rPr>
                <w:lang w:eastAsia="de-DE"/>
              </w:rPr>
              <w:t xml:space="preserve">B. </w:t>
            </w:r>
            <w:r>
              <w:rPr>
                <w:lang w:eastAsia="de-DE"/>
              </w:rPr>
              <w:t xml:space="preserve">in </w:t>
            </w:r>
            <w:r w:rsidRPr="00F73C93">
              <w:rPr>
                <w:lang w:eastAsia="de-DE"/>
              </w:rPr>
              <w:t xml:space="preserve">feuerbeständigen Behälter oder </w:t>
            </w:r>
            <w:r>
              <w:rPr>
                <w:lang w:eastAsia="de-DE"/>
              </w:rPr>
              <w:t xml:space="preserve">mit </w:t>
            </w:r>
            <w:r w:rsidRPr="00F73C93">
              <w:rPr>
                <w:lang w:eastAsia="de-DE"/>
              </w:rPr>
              <w:t>Sicherheitsabstand zu brennbaren Materialien</w:t>
            </w:r>
            <w:r>
              <w:rPr>
                <w:lang w:eastAsia="de-DE"/>
              </w:rPr>
              <w:t>; w</w:t>
            </w:r>
            <w:r w:rsidRPr="00F73C93">
              <w:rPr>
                <w:lang w:eastAsia="de-DE"/>
              </w:rPr>
              <w:t>eiteres Handling nur mit geeigneter PSA</w:t>
            </w:r>
          </w:p>
          <w:p w14:paraId="7985B12E" w14:textId="77777777" w:rsidR="0052541D" w:rsidRPr="0052541D" w:rsidRDefault="0052541D" w:rsidP="00CE3DF3">
            <w:pPr>
              <w:spacing w:before="120"/>
              <w:rPr>
                <w:lang w:eastAsia="de-DE"/>
              </w:rPr>
            </w:pPr>
            <w:r w:rsidRPr="0052541D">
              <w:rPr>
                <w:lang w:eastAsia="de-DE"/>
              </w:rPr>
              <w:t>Störungen beim Ladevorgang:</w:t>
            </w:r>
          </w:p>
          <w:p w14:paraId="18EB210F" w14:textId="258D6B02" w:rsidR="0052541D" w:rsidRPr="0052541D" w:rsidRDefault="00F13397" w:rsidP="00F73C93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b</w:t>
            </w:r>
            <w:r w:rsidR="0052541D" w:rsidRPr="0052541D">
              <w:rPr>
                <w:lang w:eastAsia="de-DE"/>
              </w:rPr>
              <w:t>ei Betriebsstörungen das Ladegerät sofort abschalten</w:t>
            </w:r>
          </w:p>
          <w:p w14:paraId="6E112DF1" w14:textId="0CEC3EEE" w:rsidR="0052541D" w:rsidRPr="0052541D" w:rsidRDefault="0052541D" w:rsidP="00F13397">
            <w:pPr>
              <w:pStyle w:val="Listenebene1"/>
              <w:rPr>
                <w:lang w:eastAsia="de-DE"/>
              </w:rPr>
            </w:pPr>
            <w:r w:rsidRPr="0052541D">
              <w:rPr>
                <w:lang w:eastAsia="de-DE"/>
              </w:rPr>
              <w:t xml:space="preserve">Steckverbindung ziehen und </w:t>
            </w:r>
            <w:r w:rsidR="00DF2F26" w:rsidRPr="0052541D">
              <w:rPr>
                <w:lang w:eastAsia="de-DE"/>
              </w:rPr>
              <w:t xml:space="preserve">Li-Ionen-Akku </w:t>
            </w:r>
            <w:r w:rsidR="00DF2F26">
              <w:rPr>
                <w:lang w:eastAsia="de-DE"/>
              </w:rPr>
              <w:t xml:space="preserve">– </w:t>
            </w:r>
            <w:r w:rsidRPr="0052541D">
              <w:rPr>
                <w:lang w:eastAsia="de-DE"/>
              </w:rPr>
              <w:t xml:space="preserve">wenn gefahrlos möglich </w:t>
            </w:r>
            <w:r w:rsidR="00DF2F26">
              <w:rPr>
                <w:lang w:eastAsia="de-DE"/>
              </w:rPr>
              <w:t xml:space="preserve">– </w:t>
            </w:r>
            <w:r w:rsidRPr="0052541D">
              <w:rPr>
                <w:lang w:eastAsia="de-DE"/>
              </w:rPr>
              <w:t>abklemmen</w:t>
            </w:r>
          </w:p>
          <w:p w14:paraId="6EE88B31" w14:textId="77777777" w:rsidR="0052541D" w:rsidRPr="0052541D" w:rsidRDefault="0052541D" w:rsidP="00CE3DF3">
            <w:pPr>
              <w:spacing w:before="120"/>
              <w:rPr>
                <w:lang w:eastAsia="de-DE"/>
              </w:rPr>
            </w:pPr>
            <w:r w:rsidRPr="0052541D">
              <w:rPr>
                <w:lang w:eastAsia="de-DE"/>
              </w:rPr>
              <w:t>Beseitigen von ausgetretenen Flüssigkeiten:</w:t>
            </w:r>
          </w:p>
          <w:p w14:paraId="6A30C34B" w14:textId="77777777" w:rsidR="0052541D" w:rsidRPr="0052541D" w:rsidRDefault="0052541D" w:rsidP="00F73C93">
            <w:pPr>
              <w:pStyle w:val="Listenebene1"/>
              <w:rPr>
                <w:lang w:eastAsia="de-DE"/>
              </w:rPr>
            </w:pPr>
            <w:r w:rsidRPr="0052541D">
              <w:rPr>
                <w:lang w:eastAsia="de-DE"/>
              </w:rPr>
              <w:t>Schutzbrille, laugenbeständige Handschuhe und ggf. lösemittelbeständige Schutzkleidung tragen</w:t>
            </w:r>
          </w:p>
          <w:p w14:paraId="6BC1150C" w14:textId="6665E9AD" w:rsidR="0052541D" w:rsidRPr="0052541D" w:rsidRDefault="0052541D" w:rsidP="00F73C93">
            <w:pPr>
              <w:pStyle w:val="Listenebene1"/>
              <w:rPr>
                <w:lang w:eastAsia="de-DE"/>
              </w:rPr>
            </w:pPr>
            <w:r w:rsidRPr="0052541D">
              <w:rPr>
                <w:lang w:eastAsia="de-DE"/>
              </w:rPr>
              <w:t xml:space="preserve">mit trockenem, saugfähigem Textil </w:t>
            </w:r>
            <w:r w:rsidR="00DF2F26">
              <w:rPr>
                <w:lang w:eastAsia="de-DE"/>
              </w:rPr>
              <w:t xml:space="preserve">aufwischen </w:t>
            </w:r>
            <w:r w:rsidRPr="0052541D">
              <w:rPr>
                <w:lang w:eastAsia="de-DE"/>
              </w:rPr>
              <w:t xml:space="preserve">und getrennt von anderen Abfällen als gefährlichen Abfall bei Sonderabfallsammelstellen nach nationaler Vorschrift entsorgen </w:t>
            </w:r>
          </w:p>
          <w:p w14:paraId="6951506A" w14:textId="57F1FE12" w:rsidR="0052541D" w:rsidRDefault="0052541D" w:rsidP="00F73C93">
            <w:pPr>
              <w:pStyle w:val="Listenebene1"/>
              <w:rPr>
                <w:lang w:eastAsia="de-DE"/>
              </w:rPr>
            </w:pPr>
            <w:r w:rsidRPr="0052541D">
              <w:rPr>
                <w:lang w:eastAsia="de-DE"/>
              </w:rPr>
              <w:t>Dämpfe nicht einatmen</w:t>
            </w:r>
          </w:p>
          <w:p w14:paraId="6F86D170" w14:textId="7806AE46" w:rsidR="0052541D" w:rsidRPr="0052541D" w:rsidRDefault="0052541D" w:rsidP="00CE3DF3">
            <w:pPr>
              <w:spacing w:before="120"/>
              <w:rPr>
                <w:lang w:eastAsia="de-DE"/>
              </w:rPr>
            </w:pPr>
            <w:r w:rsidRPr="0052541D">
              <w:rPr>
                <w:lang w:eastAsia="de-DE"/>
              </w:rPr>
              <w:t>Im Brandfall:</w:t>
            </w:r>
          </w:p>
          <w:p w14:paraId="221DBB36" w14:textId="50D99D5E" w:rsidR="0052541D" w:rsidRPr="0052541D" w:rsidRDefault="00F13397" w:rsidP="00F73C93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a</w:t>
            </w:r>
            <w:r w:rsidR="0052541D" w:rsidRPr="0052541D">
              <w:rPr>
                <w:lang w:eastAsia="de-DE"/>
              </w:rPr>
              <w:t>ußerhalb der entstehenden Dämpfe und Gase bleiben, Windrichtung beachten</w:t>
            </w:r>
          </w:p>
          <w:p w14:paraId="69A3D477" w14:textId="39A55A4F" w:rsidR="0052541D" w:rsidRPr="0052541D" w:rsidRDefault="00F13397" w:rsidP="00F73C93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w</w:t>
            </w:r>
            <w:r w:rsidR="0052541D" w:rsidRPr="0052541D">
              <w:rPr>
                <w:lang w:eastAsia="de-DE"/>
              </w:rPr>
              <w:t>enn gefahrlos möglich, Akkumulatoren aus dem Bereich des Feuers entfernen</w:t>
            </w:r>
          </w:p>
          <w:p w14:paraId="187EFB3C" w14:textId="74D2EBBB" w:rsidR="0052541D" w:rsidRPr="0052541D" w:rsidRDefault="0052541D" w:rsidP="00DF2F26">
            <w:pPr>
              <w:pStyle w:val="Listenebene1"/>
              <w:rPr>
                <w:lang w:eastAsia="de-DE"/>
              </w:rPr>
            </w:pPr>
            <w:r w:rsidRPr="0052541D">
              <w:rPr>
                <w:lang w:eastAsia="de-DE"/>
              </w:rPr>
              <w:t>Kühlen oder Löschen mit Wasser ist grundsätzlich möglich, dies sollte jedoch nur</w:t>
            </w:r>
            <w:r w:rsidR="00DF2F26">
              <w:rPr>
                <w:lang w:eastAsia="de-DE"/>
              </w:rPr>
              <w:t xml:space="preserve"> </w:t>
            </w:r>
            <w:r w:rsidRPr="0052541D">
              <w:rPr>
                <w:lang w:eastAsia="de-DE"/>
              </w:rPr>
              <w:t>durch geschultes Personal mit ausreichend großen Wassermengen erfolgen</w:t>
            </w:r>
          </w:p>
          <w:p w14:paraId="3D6AC16B" w14:textId="1368357D" w:rsidR="00245F96" w:rsidRPr="00DF2F26" w:rsidRDefault="00DF2F26" w:rsidP="00DF2F26">
            <w:pPr>
              <w:pStyle w:val="Listenebene1"/>
              <w:rPr>
                <w:rFonts w:ascii="Times New Roman" w:hAnsi="Times New Roman"/>
                <w:lang w:eastAsia="ar-SA"/>
              </w:rPr>
            </w:pPr>
            <w:r w:rsidRPr="0052541D">
              <w:rPr>
                <w:snapToGrid w:val="0"/>
                <w:lang w:eastAsia="de-DE"/>
              </w:rPr>
              <w:t>Brände mit geeigneten Feuerlöschern bekämpfen</w:t>
            </w:r>
            <w:r>
              <w:rPr>
                <w:snapToGrid w:val="0"/>
                <w:lang w:eastAsia="de-DE"/>
              </w:rPr>
              <w:t xml:space="preserve">; </w:t>
            </w:r>
            <w:r w:rsidR="00F13397">
              <w:rPr>
                <w:lang w:eastAsia="de-DE"/>
              </w:rPr>
              <w:t>b</w:t>
            </w:r>
            <w:r w:rsidR="0052541D" w:rsidRPr="0052541D">
              <w:rPr>
                <w:lang w:eastAsia="de-DE"/>
              </w:rPr>
              <w:t>ei unklarer Gefahrenlage nur mit ABC-Pulverlöscher löschen</w:t>
            </w:r>
            <w:r w:rsidR="00F71152">
              <w:rPr>
                <w:lang w:eastAsia="de-DE"/>
              </w:rPr>
              <w:t xml:space="preserve"> – </w:t>
            </w:r>
            <w:r w:rsidR="0052541D" w:rsidRPr="0052541D">
              <w:rPr>
                <w:lang w:eastAsia="de-DE"/>
              </w:rPr>
              <w:t xml:space="preserve">besonders geeignet </w:t>
            </w:r>
            <w:r>
              <w:rPr>
                <w:lang w:eastAsia="de-DE"/>
              </w:rPr>
              <w:t xml:space="preserve">ist </w:t>
            </w:r>
            <w:r w:rsidR="0052541D" w:rsidRPr="0052541D">
              <w:rPr>
                <w:lang w:eastAsia="de-DE"/>
              </w:rPr>
              <w:t>Metallbrandlöscher</w:t>
            </w:r>
            <w:r>
              <w:rPr>
                <w:lang w:eastAsia="de-DE"/>
              </w:rPr>
              <w:t xml:space="preserve"> der</w:t>
            </w:r>
            <w:r w:rsidR="0052541D" w:rsidRPr="0052541D">
              <w:rPr>
                <w:lang w:eastAsia="de-DE"/>
              </w:rPr>
              <w:t xml:space="preserve"> Brandklasse D</w:t>
            </w:r>
          </w:p>
        </w:tc>
      </w:tr>
      <w:tr w:rsidR="009D7F7C" w14:paraId="2D1312F5" w14:textId="77777777" w:rsidTr="007E1249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453EC946" w14:textId="77777777" w:rsidR="009D7F7C" w:rsidRDefault="009D7F7C" w:rsidP="0062100C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nil"/>
            </w:tcBorders>
            <w:shd w:val="clear" w:color="auto" w:fill="004994"/>
          </w:tcPr>
          <w:p w14:paraId="14BC5D05" w14:textId="77777777" w:rsidR="009D7F7C" w:rsidRPr="00F11D9D" w:rsidRDefault="009D7F7C" w:rsidP="00F11D9D">
            <w:pPr>
              <w:pStyle w:val="berschrift1"/>
            </w:pPr>
            <w:r w:rsidRPr="00F11D9D">
              <w:t>Verhalten bei Unfällen – Erste Hilfe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36" w:space="0" w:color="004994"/>
            </w:tcBorders>
            <w:shd w:val="clear" w:color="auto" w:fill="D4EDFC"/>
            <w:vAlign w:val="center"/>
          </w:tcPr>
          <w:p w14:paraId="19495373" w14:textId="77777777" w:rsidR="009D7F7C" w:rsidRPr="00242688" w:rsidRDefault="009D7F7C" w:rsidP="009D7F7C">
            <w:r w:rsidRPr="00242688">
              <w:t>Notruf: 112</w:t>
            </w:r>
          </w:p>
        </w:tc>
      </w:tr>
      <w:tr w:rsidR="009D7F7C" w14:paraId="3F06D64B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63DD480E" w14:textId="77777777" w:rsidR="009D7F7C" w:rsidRDefault="008D58F7" w:rsidP="00262125">
            <w:pPr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45982766" wp14:editId="792C4486">
                  <wp:extent cx="611505" cy="611505"/>
                  <wp:effectExtent l="0" t="0" r="0" b="0"/>
                  <wp:docPr id="2" name="Grafik 2" descr="Rettungszeichen „Erste Hilfe“ (E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Rettungszeichen &quot;Erste Hilfe&quot; (E003) gemäß ASR A1.3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CB12FA" w14:textId="3B221F0C" w:rsidR="0052541D" w:rsidRPr="00F11D9D" w:rsidRDefault="0052541D" w:rsidP="00245F96">
            <w:pPr>
              <w:spacing w:after="40"/>
              <w:jc w:val="center"/>
            </w:pPr>
            <w:r>
              <w:rPr>
                <w:noProof/>
              </w:rPr>
              <w:drawing>
                <wp:inline distT="0" distB="0" distL="0" distR="0" wp14:anchorId="270DE0A9" wp14:editId="5A7069F1">
                  <wp:extent cx="612000" cy="612000"/>
                  <wp:effectExtent l="0" t="0" r="0" b="0"/>
                  <wp:docPr id="39" name="Grafik 39" descr="Rettungszeichen „Augenspüleinrichtung“ (E01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3CA3CFB8" w14:textId="77777777" w:rsidR="0008036B" w:rsidRDefault="007142AD" w:rsidP="0052541D">
            <w:pPr>
              <w:pStyle w:val="Listenebene1"/>
            </w:pPr>
            <w:r>
              <w:t>Erste Hilfe</w:t>
            </w:r>
            <w:r w:rsidR="0008036B">
              <w:t xml:space="preserve"> leisten:</w:t>
            </w:r>
          </w:p>
          <w:p w14:paraId="7364A9F2" w14:textId="77777777" w:rsidR="007142AD" w:rsidRDefault="0008036B" w:rsidP="0052541D">
            <w:pPr>
              <w:pStyle w:val="Listenebene2"/>
            </w:pPr>
            <w:r>
              <w:t>Erste</w:t>
            </w:r>
            <w:r w:rsidR="00E53728">
              <w:t>-</w:t>
            </w:r>
            <w:r>
              <w:t>Hilfe</w:t>
            </w:r>
            <w:r w:rsidR="007142AD">
              <w:t>-Einrichtungen</w:t>
            </w:r>
            <w:r w:rsidR="00AD0AE3">
              <w:t>:</w:t>
            </w:r>
            <w:r w:rsidR="00F06650">
              <w:t xml:space="preserve"> (Was</w:t>
            </w:r>
            <w:r w:rsidR="00F85E33">
              <w:t xml:space="preserve"> ist</w:t>
            </w:r>
            <w:r w:rsidR="00F06650">
              <w:t xml:space="preserve"> wo</w:t>
            </w:r>
            <w:r w:rsidR="00F85E33">
              <w:t>?</w:t>
            </w:r>
            <w:r w:rsidR="00F06650">
              <w:t>)</w:t>
            </w:r>
          </w:p>
          <w:p w14:paraId="77D89C86" w14:textId="77777777" w:rsidR="007142AD" w:rsidRDefault="007142AD" w:rsidP="0052541D">
            <w:pPr>
              <w:pStyle w:val="Listenebene2"/>
            </w:pPr>
            <w:r>
              <w:t>Ersthelfer</w:t>
            </w:r>
            <w:r w:rsidR="00242688">
              <w:t>innen und Ersthelfer</w:t>
            </w:r>
            <w:r w:rsidR="00AD0AE3">
              <w:t>:</w:t>
            </w:r>
            <w:r w:rsidR="00F06650">
              <w:t xml:space="preserve"> (Namen, Telefonnummern)</w:t>
            </w:r>
          </w:p>
          <w:p w14:paraId="4BF9CB5F" w14:textId="77777777" w:rsidR="007142AD" w:rsidRDefault="00F06650" w:rsidP="0052541D">
            <w:pPr>
              <w:pStyle w:val="Listenebene2"/>
            </w:pPr>
            <w:r>
              <w:t>(</w:t>
            </w:r>
            <w:r w:rsidR="007142AD">
              <w:t>Notrufnummern</w:t>
            </w:r>
            <w:r>
              <w:t>)</w:t>
            </w:r>
          </w:p>
          <w:p w14:paraId="48FBDDBE" w14:textId="422C3859" w:rsidR="009D7F7C" w:rsidRDefault="007142AD" w:rsidP="0052541D">
            <w:pPr>
              <w:pStyle w:val="Listenebene2"/>
            </w:pPr>
            <w:r>
              <w:t>besondere Erste</w:t>
            </w:r>
            <w:r w:rsidR="00E53728">
              <w:t>-</w:t>
            </w:r>
            <w:r>
              <w:t>Hilfe-Maßnahmen</w:t>
            </w:r>
            <w:r w:rsidR="00AD0AE3">
              <w:t>:</w:t>
            </w:r>
          </w:p>
          <w:p w14:paraId="757740C3" w14:textId="44EA8F07" w:rsidR="00245F96" w:rsidRDefault="00245F96" w:rsidP="00245F96">
            <w:pPr>
              <w:pStyle w:val="Listenebene3"/>
            </w:pPr>
            <w:r>
              <w:t>Ladegerät abschalten und unter Beachtung des Eigenschutzes möglichst die Steckverbindungen trennen</w:t>
            </w:r>
          </w:p>
          <w:p w14:paraId="4AA3D027" w14:textId="047B0982" w:rsidR="00245F96" w:rsidRDefault="004F645A" w:rsidP="00245F96">
            <w:pPr>
              <w:pStyle w:val="Listenebene3"/>
            </w:pPr>
            <w:r>
              <w:t>nach</w:t>
            </w:r>
            <w:r w:rsidR="00245F96">
              <w:t xml:space="preserve"> Hautkontakt</w:t>
            </w:r>
            <w:r>
              <w:t>:</w:t>
            </w:r>
            <w:r w:rsidR="00245F96">
              <w:t xml:space="preserve"> betroffene Hautpartie mit reichlich Wasser und Seife abwaschen</w:t>
            </w:r>
          </w:p>
          <w:p w14:paraId="7AFC6110" w14:textId="7F288262" w:rsidR="00245F96" w:rsidRDefault="00245F96" w:rsidP="00245F96">
            <w:pPr>
              <w:pStyle w:val="Listenebene3"/>
            </w:pPr>
            <w:r>
              <w:t>bei Augenverletzungen durch Elektrolyt</w:t>
            </w:r>
            <w:r w:rsidR="004F645A">
              <w:t>:</w:t>
            </w:r>
            <w:r>
              <w:t xml:space="preserve"> sofort </w:t>
            </w:r>
            <w:r w:rsidR="00C93DB0">
              <w:t xml:space="preserve">für mindestens 15 Minuten </w:t>
            </w:r>
            <w:r>
              <w:t>Augenspülung anwenden und ärztliche Hilfe in Anspruch nehmen</w:t>
            </w:r>
          </w:p>
          <w:p w14:paraId="0176A0E3" w14:textId="21117082" w:rsidR="0052541D" w:rsidRPr="00245F96" w:rsidRDefault="00AD0AE3" w:rsidP="00245F96">
            <w:pPr>
              <w:pStyle w:val="Listenebene1"/>
            </w:pPr>
            <w:r>
              <w:t>Erste</w:t>
            </w:r>
            <w:r w:rsidR="00E53728">
              <w:t>-</w:t>
            </w:r>
            <w:r>
              <w:t>Hilfe-Leistungen dokumentieren</w:t>
            </w:r>
          </w:p>
        </w:tc>
      </w:tr>
      <w:tr w:rsidR="009D7F7C" w14:paraId="3AAF589B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457CD13" w14:textId="77777777" w:rsidR="009D7F7C" w:rsidRDefault="009D7F7C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762F7F7" w14:textId="77777777" w:rsidR="009D7F7C" w:rsidRPr="00F11D9D" w:rsidRDefault="009D7F7C" w:rsidP="00F11D9D">
            <w:pPr>
              <w:pStyle w:val="berschrift1"/>
            </w:pPr>
            <w:r w:rsidRPr="00F11D9D">
              <w:t>Instandhaltung, Entsorgung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6ACFA30F" w14:textId="77777777" w:rsidR="009D7F7C" w:rsidRDefault="009D7F7C" w:rsidP="00F11D9D">
            <w:pPr>
              <w:pStyle w:val="berschrift1"/>
            </w:pPr>
          </w:p>
        </w:tc>
      </w:tr>
      <w:tr w:rsidR="008822F8" w14:paraId="61F5377B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single" w:sz="36" w:space="0" w:color="004994"/>
              <w:right w:val="single" w:sz="4" w:space="0" w:color="FFFFFF" w:themeColor="background1"/>
            </w:tcBorders>
          </w:tcPr>
          <w:p w14:paraId="73E70A59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004994"/>
              <w:right w:val="single" w:sz="36" w:space="0" w:color="004994"/>
            </w:tcBorders>
          </w:tcPr>
          <w:p w14:paraId="0CEEE66B" w14:textId="68C42D3E" w:rsidR="0052541D" w:rsidRPr="0052541D" w:rsidRDefault="00F73C93" w:rsidP="0052541D">
            <w:pPr>
              <w:pStyle w:val="Listenebene1"/>
              <w:rPr>
                <w:rFonts w:cs="Times New Roman"/>
                <w:snapToGrid w:val="0"/>
                <w:lang w:eastAsia="de-DE"/>
              </w:rPr>
            </w:pPr>
            <w:r>
              <w:rPr>
                <w:lang w:eastAsia="de-DE"/>
              </w:rPr>
              <w:t>k</w:t>
            </w:r>
            <w:r w:rsidR="0052541D" w:rsidRPr="0052541D">
              <w:rPr>
                <w:lang w:eastAsia="de-DE"/>
              </w:rPr>
              <w:t>eine Reparatur-/Instandsetzungsarbeiten an Li-Ionen-Akkus durchführen</w:t>
            </w:r>
          </w:p>
          <w:p w14:paraId="440A4BB2" w14:textId="35C4E24B" w:rsidR="0052541D" w:rsidRPr="0052541D" w:rsidRDefault="00C93DB0" w:rsidP="0052541D">
            <w:pPr>
              <w:pStyle w:val="Listenebene1"/>
              <w:rPr>
                <w:rFonts w:cs="Times New Roman"/>
                <w:snapToGrid w:val="0"/>
                <w:lang w:eastAsia="de-DE"/>
              </w:rPr>
            </w:pPr>
            <w:r>
              <w:rPr>
                <w:lang w:eastAsia="de-DE"/>
              </w:rPr>
              <w:t xml:space="preserve">gemäß </w:t>
            </w:r>
            <w:r w:rsidRPr="0052541D">
              <w:rPr>
                <w:lang w:eastAsia="de-DE"/>
              </w:rPr>
              <w:t>ADR Sondervorschrift 661</w:t>
            </w:r>
            <w:r w:rsidR="00E00168">
              <w:rPr>
                <w:lang w:eastAsia="de-DE"/>
              </w:rPr>
              <w:t xml:space="preserve"> </w:t>
            </w:r>
            <w:r>
              <w:rPr>
                <w:lang w:eastAsia="de-DE"/>
              </w:rPr>
              <w:t xml:space="preserve">als </w:t>
            </w:r>
            <w:r w:rsidR="0052541D" w:rsidRPr="0052541D">
              <w:rPr>
                <w:lang w:eastAsia="de-DE"/>
              </w:rPr>
              <w:t xml:space="preserve">Gefahrgut </w:t>
            </w:r>
            <w:r>
              <w:rPr>
                <w:lang w:eastAsia="de-DE"/>
              </w:rPr>
              <w:t>entsorgen</w:t>
            </w:r>
          </w:p>
          <w:p w14:paraId="0184E296" w14:textId="1EA069DD" w:rsidR="008822F8" w:rsidRPr="00F73C93" w:rsidRDefault="0052541D" w:rsidP="00F73C93">
            <w:pPr>
              <w:pStyle w:val="Listenebene1"/>
              <w:rPr>
                <w:rFonts w:cs="Times New Roman"/>
                <w:snapToGrid w:val="0"/>
                <w:szCs w:val="22"/>
                <w:lang w:eastAsia="de-DE"/>
              </w:rPr>
            </w:pPr>
            <w:r w:rsidRPr="0052541D">
              <w:rPr>
                <w:lang w:eastAsia="de-DE"/>
              </w:rPr>
              <w:t>defekte Li-Ionen-Akkus in feuerbeständigen Behältern</w:t>
            </w:r>
            <w:r w:rsidR="003E56D0">
              <w:rPr>
                <w:lang w:eastAsia="de-DE"/>
              </w:rPr>
              <w:t xml:space="preserve"> lagern</w:t>
            </w:r>
          </w:p>
        </w:tc>
      </w:tr>
    </w:tbl>
    <w:p w14:paraId="175E6339" w14:textId="77777777" w:rsidR="000D5C63" w:rsidRDefault="00C82C24" w:rsidP="00357BA4">
      <w:r>
        <w:t>Datum, Unterschrift</w:t>
      </w:r>
    </w:p>
    <w:p w14:paraId="1B11321D" w14:textId="77777777" w:rsidR="00C82C24" w:rsidRDefault="00C82C24" w:rsidP="00357BA4"/>
    <w:p w14:paraId="7DBC430C" w14:textId="77777777" w:rsidR="00C82C24" w:rsidRPr="00F11D9D" w:rsidRDefault="00C82C24" w:rsidP="00C82C24">
      <w:pPr>
        <w:jc w:val="center"/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F11D9D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42AFD" w14:textId="77777777" w:rsidR="00803E00" w:rsidRDefault="00803E00" w:rsidP="005C4990">
      <w:r>
        <w:separator/>
      </w:r>
    </w:p>
  </w:endnote>
  <w:endnote w:type="continuationSeparator" w:id="0">
    <w:p w14:paraId="3AB19C44" w14:textId="77777777" w:rsidR="00803E00" w:rsidRDefault="00803E00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7E2E8" w14:textId="77777777" w:rsidR="00803E00" w:rsidRDefault="00803E00" w:rsidP="005C4990">
      <w:r>
        <w:separator/>
      </w:r>
    </w:p>
  </w:footnote>
  <w:footnote w:type="continuationSeparator" w:id="0">
    <w:p w14:paraId="37DB0FB6" w14:textId="77777777" w:rsidR="00803E00" w:rsidRDefault="00803E00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D26"/>
    <w:multiLevelType w:val="hybridMultilevel"/>
    <w:tmpl w:val="D88E38B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B57E1"/>
    <w:multiLevelType w:val="hybridMultilevel"/>
    <w:tmpl w:val="4620C9E2"/>
    <w:lvl w:ilvl="0" w:tplc="F29E174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C6120"/>
    <w:multiLevelType w:val="singleLevel"/>
    <w:tmpl w:val="B880B098"/>
    <w:lvl w:ilvl="0">
      <w:start w:val="1"/>
      <w:numFmt w:val="bullet"/>
      <w:pStyle w:val="FormatvorlageRegeln"/>
      <w:lvlText w:val=""/>
      <w:lvlJc w:val="left"/>
      <w:pPr>
        <w:tabs>
          <w:tab w:val="num" w:pos="927"/>
        </w:tabs>
        <w:ind w:left="794" w:hanging="227"/>
      </w:pPr>
      <w:rPr>
        <w:rFonts w:ascii="Symbol" w:hAnsi="Symbol" w:hint="default"/>
        <w:sz w:val="16"/>
      </w:rPr>
    </w:lvl>
  </w:abstractNum>
  <w:abstractNum w:abstractNumId="8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5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8" w15:restartNumberingAfterBreak="0">
    <w:nsid w:val="303C2FC5"/>
    <w:multiLevelType w:val="hybridMultilevel"/>
    <w:tmpl w:val="948E6ED4"/>
    <w:lvl w:ilvl="0" w:tplc="A56C90A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60295"/>
    <w:multiLevelType w:val="hybridMultilevel"/>
    <w:tmpl w:val="761ECC1E"/>
    <w:lvl w:ilvl="0" w:tplc="8CB476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0653A"/>
    <w:multiLevelType w:val="hybridMultilevel"/>
    <w:tmpl w:val="3D707C78"/>
    <w:lvl w:ilvl="0" w:tplc="F29E174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F77678"/>
    <w:multiLevelType w:val="hybridMultilevel"/>
    <w:tmpl w:val="CC3CC0DE"/>
    <w:lvl w:ilvl="0" w:tplc="F29E174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D3E14"/>
    <w:multiLevelType w:val="hybridMultilevel"/>
    <w:tmpl w:val="9E048306"/>
    <w:lvl w:ilvl="0" w:tplc="ADD44D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402C68"/>
    <w:multiLevelType w:val="hybridMultilevel"/>
    <w:tmpl w:val="CAC457D6"/>
    <w:lvl w:ilvl="0" w:tplc="604803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817800">
    <w:abstractNumId w:val="9"/>
  </w:num>
  <w:num w:numId="2" w16cid:durableId="2098599245">
    <w:abstractNumId w:val="8"/>
  </w:num>
  <w:num w:numId="3" w16cid:durableId="1296989815">
    <w:abstractNumId w:val="37"/>
  </w:num>
  <w:num w:numId="4" w16cid:durableId="1256671931">
    <w:abstractNumId w:val="47"/>
  </w:num>
  <w:num w:numId="5" w16cid:durableId="1059983594">
    <w:abstractNumId w:val="42"/>
  </w:num>
  <w:num w:numId="6" w16cid:durableId="1286497774">
    <w:abstractNumId w:val="6"/>
  </w:num>
  <w:num w:numId="7" w16cid:durableId="1648586480">
    <w:abstractNumId w:val="21"/>
  </w:num>
  <w:num w:numId="8" w16cid:durableId="1631740839">
    <w:abstractNumId w:val="1"/>
  </w:num>
  <w:num w:numId="9" w16cid:durableId="2017069238">
    <w:abstractNumId w:val="15"/>
  </w:num>
  <w:num w:numId="10" w16cid:durableId="829253172">
    <w:abstractNumId w:val="26"/>
  </w:num>
  <w:num w:numId="11" w16cid:durableId="140942470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60271215">
    <w:abstractNumId w:val="41"/>
  </w:num>
  <w:num w:numId="13" w16cid:durableId="136607850">
    <w:abstractNumId w:val="31"/>
  </w:num>
  <w:num w:numId="14" w16cid:durableId="905798008">
    <w:abstractNumId w:val="30"/>
  </w:num>
  <w:num w:numId="15" w16cid:durableId="597492826">
    <w:abstractNumId w:val="22"/>
  </w:num>
  <w:num w:numId="16" w16cid:durableId="692002264">
    <w:abstractNumId w:val="34"/>
  </w:num>
  <w:num w:numId="17" w16cid:durableId="7681213">
    <w:abstractNumId w:val="16"/>
  </w:num>
  <w:num w:numId="18" w16cid:durableId="1495612470">
    <w:abstractNumId w:val="19"/>
  </w:num>
  <w:num w:numId="19" w16cid:durableId="1326785566">
    <w:abstractNumId w:val="13"/>
  </w:num>
  <w:num w:numId="20" w16cid:durableId="841316546">
    <w:abstractNumId w:val="29"/>
  </w:num>
  <w:num w:numId="21" w16cid:durableId="322978116">
    <w:abstractNumId w:val="10"/>
  </w:num>
  <w:num w:numId="22" w16cid:durableId="1700931975">
    <w:abstractNumId w:val="4"/>
  </w:num>
  <w:num w:numId="23" w16cid:durableId="1599406150">
    <w:abstractNumId w:val="32"/>
  </w:num>
  <w:num w:numId="24" w16cid:durableId="642544391">
    <w:abstractNumId w:val="2"/>
  </w:num>
  <w:num w:numId="25" w16cid:durableId="2040818780">
    <w:abstractNumId w:val="33"/>
  </w:num>
  <w:num w:numId="26" w16cid:durableId="668022089">
    <w:abstractNumId w:val="40"/>
  </w:num>
  <w:num w:numId="27" w16cid:durableId="709694313">
    <w:abstractNumId w:val="36"/>
  </w:num>
  <w:num w:numId="28" w16cid:durableId="951860452">
    <w:abstractNumId w:val="11"/>
  </w:num>
  <w:num w:numId="29" w16cid:durableId="731579787">
    <w:abstractNumId w:val="46"/>
  </w:num>
  <w:num w:numId="30" w16cid:durableId="853764253">
    <w:abstractNumId w:val="17"/>
  </w:num>
  <w:num w:numId="31" w16cid:durableId="1535534483">
    <w:abstractNumId w:val="14"/>
  </w:num>
  <w:num w:numId="32" w16cid:durableId="344216097">
    <w:abstractNumId w:val="38"/>
  </w:num>
  <w:num w:numId="33" w16cid:durableId="2024624506">
    <w:abstractNumId w:val="35"/>
  </w:num>
  <w:num w:numId="34" w16cid:durableId="719476413">
    <w:abstractNumId w:val="27"/>
  </w:num>
  <w:num w:numId="35" w16cid:durableId="551232889">
    <w:abstractNumId w:val="28"/>
  </w:num>
  <w:num w:numId="36" w16cid:durableId="1711223196">
    <w:abstractNumId w:val="45"/>
  </w:num>
  <w:num w:numId="37" w16cid:durableId="207881750">
    <w:abstractNumId w:val="44"/>
  </w:num>
  <w:num w:numId="38" w16cid:durableId="1079056427">
    <w:abstractNumId w:val="12"/>
  </w:num>
  <w:num w:numId="39" w16cid:durableId="1770198473">
    <w:abstractNumId w:val="5"/>
  </w:num>
  <w:num w:numId="40" w16cid:durableId="447897231">
    <w:abstractNumId w:val="23"/>
  </w:num>
  <w:num w:numId="41" w16cid:durableId="1326670301">
    <w:abstractNumId w:val="7"/>
  </w:num>
  <w:num w:numId="42" w16cid:durableId="1638031033">
    <w:abstractNumId w:val="0"/>
  </w:num>
  <w:num w:numId="43" w16cid:durableId="519900853">
    <w:abstractNumId w:val="25"/>
  </w:num>
  <w:num w:numId="44" w16cid:durableId="2053264570">
    <w:abstractNumId w:val="18"/>
  </w:num>
  <w:num w:numId="45" w16cid:durableId="1797291134">
    <w:abstractNumId w:val="3"/>
  </w:num>
  <w:num w:numId="46" w16cid:durableId="1417283904">
    <w:abstractNumId w:val="24"/>
  </w:num>
  <w:num w:numId="47" w16cid:durableId="165898155">
    <w:abstractNumId w:val="20"/>
  </w:num>
  <w:num w:numId="48" w16cid:durableId="38016175">
    <w:abstractNumId w:val="39"/>
  </w:num>
  <w:num w:numId="49" w16cid:durableId="561253544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27"/>
    <w:rsid w:val="0000510F"/>
    <w:rsid w:val="00013BA9"/>
    <w:rsid w:val="00014D33"/>
    <w:rsid w:val="00022C69"/>
    <w:rsid w:val="00033502"/>
    <w:rsid w:val="000356C0"/>
    <w:rsid w:val="00037B84"/>
    <w:rsid w:val="00047CF0"/>
    <w:rsid w:val="00061A4C"/>
    <w:rsid w:val="00066847"/>
    <w:rsid w:val="0008036B"/>
    <w:rsid w:val="00081BA8"/>
    <w:rsid w:val="00090C27"/>
    <w:rsid w:val="0009389C"/>
    <w:rsid w:val="0009438D"/>
    <w:rsid w:val="000A041F"/>
    <w:rsid w:val="000A3CE0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0757F"/>
    <w:rsid w:val="001140B7"/>
    <w:rsid w:val="00116FE4"/>
    <w:rsid w:val="001207AD"/>
    <w:rsid w:val="001213D2"/>
    <w:rsid w:val="00135960"/>
    <w:rsid w:val="001400E0"/>
    <w:rsid w:val="00154F62"/>
    <w:rsid w:val="001846B9"/>
    <w:rsid w:val="00191DF4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2496"/>
    <w:rsid w:val="001F4156"/>
    <w:rsid w:val="00207C33"/>
    <w:rsid w:val="0021028C"/>
    <w:rsid w:val="00212BCA"/>
    <w:rsid w:val="00214F21"/>
    <w:rsid w:val="00223EB5"/>
    <w:rsid w:val="00224679"/>
    <w:rsid w:val="00234174"/>
    <w:rsid w:val="00240614"/>
    <w:rsid w:val="00242688"/>
    <w:rsid w:val="00245F96"/>
    <w:rsid w:val="00250812"/>
    <w:rsid w:val="00256D0E"/>
    <w:rsid w:val="00262125"/>
    <w:rsid w:val="00271A97"/>
    <w:rsid w:val="00275C99"/>
    <w:rsid w:val="002810B5"/>
    <w:rsid w:val="00297769"/>
    <w:rsid w:val="00297E9A"/>
    <w:rsid w:val="002C1026"/>
    <w:rsid w:val="002C188B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634FE"/>
    <w:rsid w:val="00371EB2"/>
    <w:rsid w:val="00380E94"/>
    <w:rsid w:val="00380F97"/>
    <w:rsid w:val="00381653"/>
    <w:rsid w:val="00384451"/>
    <w:rsid w:val="00395A3E"/>
    <w:rsid w:val="00397950"/>
    <w:rsid w:val="003A754D"/>
    <w:rsid w:val="003D3697"/>
    <w:rsid w:val="003E2BFE"/>
    <w:rsid w:val="003E358E"/>
    <w:rsid w:val="003E56D0"/>
    <w:rsid w:val="003E65AF"/>
    <w:rsid w:val="003F1A4B"/>
    <w:rsid w:val="003F1EA8"/>
    <w:rsid w:val="003F2A0D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45DF2"/>
    <w:rsid w:val="00451AD5"/>
    <w:rsid w:val="00451D53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E689F"/>
    <w:rsid w:val="004F0791"/>
    <w:rsid w:val="004F645A"/>
    <w:rsid w:val="0050297D"/>
    <w:rsid w:val="00503158"/>
    <w:rsid w:val="00506E6A"/>
    <w:rsid w:val="00507DB0"/>
    <w:rsid w:val="00507E0B"/>
    <w:rsid w:val="0052541D"/>
    <w:rsid w:val="00535B94"/>
    <w:rsid w:val="00545300"/>
    <w:rsid w:val="00547F18"/>
    <w:rsid w:val="0055165D"/>
    <w:rsid w:val="0055497D"/>
    <w:rsid w:val="00574BDF"/>
    <w:rsid w:val="00575813"/>
    <w:rsid w:val="00585143"/>
    <w:rsid w:val="00597081"/>
    <w:rsid w:val="005B647E"/>
    <w:rsid w:val="005C2969"/>
    <w:rsid w:val="005C4990"/>
    <w:rsid w:val="005C61EA"/>
    <w:rsid w:val="005D30A9"/>
    <w:rsid w:val="005E3031"/>
    <w:rsid w:val="005E3B07"/>
    <w:rsid w:val="005E5F79"/>
    <w:rsid w:val="005E6465"/>
    <w:rsid w:val="006033F1"/>
    <w:rsid w:val="00603F62"/>
    <w:rsid w:val="0062100C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B16C8"/>
    <w:rsid w:val="006B2F85"/>
    <w:rsid w:val="006B522F"/>
    <w:rsid w:val="006C4614"/>
    <w:rsid w:val="006C6F1C"/>
    <w:rsid w:val="006D1AD3"/>
    <w:rsid w:val="006D591D"/>
    <w:rsid w:val="006E0C23"/>
    <w:rsid w:val="006E3E97"/>
    <w:rsid w:val="00700A0C"/>
    <w:rsid w:val="00704AE0"/>
    <w:rsid w:val="00711B2F"/>
    <w:rsid w:val="007142AD"/>
    <w:rsid w:val="00731C2C"/>
    <w:rsid w:val="007472F8"/>
    <w:rsid w:val="00765441"/>
    <w:rsid w:val="00765A90"/>
    <w:rsid w:val="0077269C"/>
    <w:rsid w:val="007845CE"/>
    <w:rsid w:val="007B3820"/>
    <w:rsid w:val="007B4EFD"/>
    <w:rsid w:val="007B5FAC"/>
    <w:rsid w:val="007C62A9"/>
    <w:rsid w:val="007C770B"/>
    <w:rsid w:val="007D229B"/>
    <w:rsid w:val="007D22D7"/>
    <w:rsid w:val="007D6FF4"/>
    <w:rsid w:val="007D7E60"/>
    <w:rsid w:val="007E0659"/>
    <w:rsid w:val="007E1249"/>
    <w:rsid w:val="00803E00"/>
    <w:rsid w:val="00806729"/>
    <w:rsid w:val="00806E03"/>
    <w:rsid w:val="00812725"/>
    <w:rsid w:val="008168DD"/>
    <w:rsid w:val="00816D6B"/>
    <w:rsid w:val="00822D9C"/>
    <w:rsid w:val="00831A85"/>
    <w:rsid w:val="008334F9"/>
    <w:rsid w:val="008337C8"/>
    <w:rsid w:val="00842396"/>
    <w:rsid w:val="00857472"/>
    <w:rsid w:val="0086520A"/>
    <w:rsid w:val="008673BD"/>
    <w:rsid w:val="0088155B"/>
    <w:rsid w:val="008822F8"/>
    <w:rsid w:val="00885B36"/>
    <w:rsid w:val="00890537"/>
    <w:rsid w:val="0089127C"/>
    <w:rsid w:val="008912AF"/>
    <w:rsid w:val="00895D28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58F7"/>
    <w:rsid w:val="008D680B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654FC"/>
    <w:rsid w:val="009753C8"/>
    <w:rsid w:val="00975F20"/>
    <w:rsid w:val="00980CE7"/>
    <w:rsid w:val="00986CBF"/>
    <w:rsid w:val="00992976"/>
    <w:rsid w:val="00993354"/>
    <w:rsid w:val="00995C4E"/>
    <w:rsid w:val="00995E1B"/>
    <w:rsid w:val="009B1173"/>
    <w:rsid w:val="009B1257"/>
    <w:rsid w:val="009B2584"/>
    <w:rsid w:val="009C285C"/>
    <w:rsid w:val="009D7F7C"/>
    <w:rsid w:val="009E1A66"/>
    <w:rsid w:val="009E1A68"/>
    <w:rsid w:val="009F0404"/>
    <w:rsid w:val="009F7C97"/>
    <w:rsid w:val="00A0737C"/>
    <w:rsid w:val="00A07F74"/>
    <w:rsid w:val="00A20F17"/>
    <w:rsid w:val="00A34BA0"/>
    <w:rsid w:val="00A360DB"/>
    <w:rsid w:val="00A37248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A5959"/>
    <w:rsid w:val="00AB75EC"/>
    <w:rsid w:val="00AC7883"/>
    <w:rsid w:val="00AD0AE3"/>
    <w:rsid w:val="00AD1730"/>
    <w:rsid w:val="00AD2CEA"/>
    <w:rsid w:val="00AF0299"/>
    <w:rsid w:val="00AF1BF7"/>
    <w:rsid w:val="00B036DD"/>
    <w:rsid w:val="00B11337"/>
    <w:rsid w:val="00B16296"/>
    <w:rsid w:val="00B17E05"/>
    <w:rsid w:val="00B17E93"/>
    <w:rsid w:val="00B24511"/>
    <w:rsid w:val="00B3386D"/>
    <w:rsid w:val="00B431DC"/>
    <w:rsid w:val="00B532AF"/>
    <w:rsid w:val="00B6758C"/>
    <w:rsid w:val="00B757AE"/>
    <w:rsid w:val="00B8137C"/>
    <w:rsid w:val="00B819A4"/>
    <w:rsid w:val="00B9111D"/>
    <w:rsid w:val="00B94982"/>
    <w:rsid w:val="00B96ED4"/>
    <w:rsid w:val="00BB08D3"/>
    <w:rsid w:val="00BC6CB9"/>
    <w:rsid w:val="00BC7FBB"/>
    <w:rsid w:val="00BD0E5D"/>
    <w:rsid w:val="00BD32FD"/>
    <w:rsid w:val="00BD3FD1"/>
    <w:rsid w:val="00BD59C7"/>
    <w:rsid w:val="00BD7EAD"/>
    <w:rsid w:val="00BF1235"/>
    <w:rsid w:val="00BF3102"/>
    <w:rsid w:val="00BF63B2"/>
    <w:rsid w:val="00C01E1F"/>
    <w:rsid w:val="00C03FA5"/>
    <w:rsid w:val="00C06BB1"/>
    <w:rsid w:val="00C11020"/>
    <w:rsid w:val="00C315B7"/>
    <w:rsid w:val="00C354F0"/>
    <w:rsid w:val="00C35FDC"/>
    <w:rsid w:val="00C41755"/>
    <w:rsid w:val="00C703DA"/>
    <w:rsid w:val="00C82C24"/>
    <w:rsid w:val="00C93DB0"/>
    <w:rsid w:val="00C93FB9"/>
    <w:rsid w:val="00C956C5"/>
    <w:rsid w:val="00CA4EC6"/>
    <w:rsid w:val="00CC140B"/>
    <w:rsid w:val="00CC5116"/>
    <w:rsid w:val="00CD246E"/>
    <w:rsid w:val="00CE09E1"/>
    <w:rsid w:val="00CE2CFE"/>
    <w:rsid w:val="00CE3DF3"/>
    <w:rsid w:val="00CF0877"/>
    <w:rsid w:val="00D152C1"/>
    <w:rsid w:val="00D156B0"/>
    <w:rsid w:val="00D22F40"/>
    <w:rsid w:val="00D33160"/>
    <w:rsid w:val="00D421DD"/>
    <w:rsid w:val="00D43633"/>
    <w:rsid w:val="00D5423E"/>
    <w:rsid w:val="00D563C8"/>
    <w:rsid w:val="00D92536"/>
    <w:rsid w:val="00D95804"/>
    <w:rsid w:val="00DA7BF2"/>
    <w:rsid w:val="00DB49FD"/>
    <w:rsid w:val="00DB4E4A"/>
    <w:rsid w:val="00DB702F"/>
    <w:rsid w:val="00DD58D8"/>
    <w:rsid w:val="00DF2F26"/>
    <w:rsid w:val="00E00168"/>
    <w:rsid w:val="00E10794"/>
    <w:rsid w:val="00E3062B"/>
    <w:rsid w:val="00E3754C"/>
    <w:rsid w:val="00E414EB"/>
    <w:rsid w:val="00E44BC2"/>
    <w:rsid w:val="00E4587B"/>
    <w:rsid w:val="00E47902"/>
    <w:rsid w:val="00E50C09"/>
    <w:rsid w:val="00E53728"/>
    <w:rsid w:val="00E603A7"/>
    <w:rsid w:val="00E6763B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06650"/>
    <w:rsid w:val="00F11D9D"/>
    <w:rsid w:val="00F12127"/>
    <w:rsid w:val="00F13397"/>
    <w:rsid w:val="00F23F52"/>
    <w:rsid w:val="00F424C7"/>
    <w:rsid w:val="00F436FA"/>
    <w:rsid w:val="00F43990"/>
    <w:rsid w:val="00F576A1"/>
    <w:rsid w:val="00F6144C"/>
    <w:rsid w:val="00F62515"/>
    <w:rsid w:val="00F71152"/>
    <w:rsid w:val="00F72F37"/>
    <w:rsid w:val="00F73C93"/>
    <w:rsid w:val="00F85E33"/>
    <w:rsid w:val="00FB079F"/>
    <w:rsid w:val="00FB70AE"/>
    <w:rsid w:val="00FD3BE1"/>
    <w:rsid w:val="00FE2DB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A80D909"/>
  <w15:docId w15:val="{C640E52A-710B-4B71-98D5-44A9F2407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F3102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3102"/>
    <w:rPr>
      <w:rFonts w:eastAsiaTheme="majorEastAsia" w:cs="Arial"/>
      <w:b/>
      <w:spacing w:val="-10"/>
      <w:kern w:val="28"/>
      <w:sz w:val="28"/>
      <w:szCs w:val="56"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rsid w:val="00F11D9D"/>
    <w:pPr>
      <w:spacing w:after="120"/>
    </w:pPr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F11D9D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paragraph" w:styleId="Kopfzeile">
    <w:name w:val="header"/>
    <w:basedOn w:val="Standard"/>
    <w:link w:val="KopfzeileZchn"/>
    <w:uiPriority w:val="99"/>
    <w:unhideWhenUsed/>
    <w:rsid w:val="003F1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EA8"/>
    <w:rPr>
      <w:sz w:val="20"/>
    </w:rPr>
  </w:style>
  <w:style w:type="paragraph" w:styleId="Kommentartext">
    <w:name w:val="annotation text"/>
    <w:basedOn w:val="Standard"/>
    <w:link w:val="KommentartextZchn"/>
    <w:uiPriority w:val="99"/>
    <w:rsid w:val="0084239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2396"/>
    <w:rPr>
      <w:sz w:val="20"/>
      <w:szCs w:val="20"/>
    </w:rPr>
  </w:style>
  <w:style w:type="paragraph" w:customStyle="1" w:styleId="FormatvorlageRegeln">
    <w:name w:val="Formatvorlage_Regeln"/>
    <w:basedOn w:val="Standard"/>
    <w:rsid w:val="0052541D"/>
    <w:pPr>
      <w:numPr>
        <w:numId w:val="41"/>
      </w:numPr>
    </w:pPr>
    <w:rPr>
      <w:rFonts w:eastAsia="Times New Roman" w:cs="Times New Roman"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5D30A9"/>
    <w:pPr>
      <w:spacing w:after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B2BD5-C925-4889-BDF4-01310F8A7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3518</Characters>
  <Application>Microsoft Office Word</Application>
  <DocSecurity>0</DocSecurity>
  <Lines>29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13-15 - Lithium-Ionen-Akkumulatoren - Muster-Betriebsanweisung</vt:lpstr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13-15 - Lithium-Ionen-Akkumulatoren - Muster-Betriebsanweisung</dc:title>
  <dc:creator>Berufsgenossenschaft Handel und Warenlogistik (BGHW)</dc:creator>
  <cp:lastModifiedBy>Richarz, Saskia</cp:lastModifiedBy>
  <cp:revision>20</cp:revision>
  <cp:lastPrinted>2024-07-19T05:45:00Z</cp:lastPrinted>
  <dcterms:created xsi:type="dcterms:W3CDTF">2024-09-17T07:44:00Z</dcterms:created>
  <dcterms:modified xsi:type="dcterms:W3CDTF">2026-03-26T14:41:00Z</dcterms:modified>
</cp:coreProperties>
</file>