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FBA6B44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4AFF8D8A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8E5B62F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2F8AF4C1" w14:textId="7313FD0A" w:rsidR="00BF3102" w:rsidRPr="00BF3102" w:rsidRDefault="008A503A" w:rsidP="00BF3102">
            <w:pPr>
              <w:pStyle w:val="Titel"/>
            </w:pPr>
            <w:r>
              <w:t>Kanalballenpressen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00DC5520" w14:textId="038ABFD7" w:rsidR="00FB079F" w:rsidRDefault="00FB079F" w:rsidP="00F11D9D">
            <w:pPr>
              <w:jc w:val="right"/>
            </w:pPr>
            <w:r>
              <w:t>Stand: TT.MM.</w:t>
            </w:r>
            <w:r w:rsidR="002A15F6">
              <w:t>JJJJ</w:t>
            </w:r>
          </w:p>
        </w:tc>
      </w:tr>
      <w:tr w:rsidR="00FB079F" w14:paraId="7F3BA22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DB1E3D9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C7EE080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A77566E" w14:textId="77777777" w:rsidR="00FB079F" w:rsidRDefault="00FB079F" w:rsidP="00F11D9D">
            <w:pPr>
              <w:pStyle w:val="berschrift1"/>
            </w:pPr>
          </w:p>
        </w:tc>
      </w:tr>
      <w:tr w:rsidR="008168DD" w14:paraId="65BDCEB0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DC9D851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337C5CFD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45082D47" w14:textId="591F54BB" w:rsidR="008168DD" w:rsidRPr="00F11D9D" w:rsidRDefault="008168DD" w:rsidP="008A503A">
            <w:r w:rsidRPr="00F11D9D">
              <w:t>Tätigkeit</w:t>
            </w:r>
            <w:r w:rsidR="0008036B">
              <w:t>:</w:t>
            </w:r>
            <w:r w:rsidR="008A503A">
              <w:t xml:space="preserve"> </w:t>
            </w:r>
            <w:r w:rsidR="008A503A" w:rsidRPr="001F79AE">
              <w:t xml:space="preserve">Betrieb von </w:t>
            </w:r>
            <w:r w:rsidR="008A503A">
              <w:t>Kanalb</w:t>
            </w:r>
            <w:r w:rsidR="008A503A" w:rsidRPr="001F79AE">
              <w:t>allenpressen</w:t>
            </w:r>
          </w:p>
        </w:tc>
      </w:tr>
      <w:tr w:rsidR="00FB079F" w14:paraId="285289D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DAF243B" w14:textId="77777777" w:rsidR="00FB079F" w:rsidRPr="0026225A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30DD3AA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47DC745" w14:textId="77777777" w:rsidR="00FB079F" w:rsidRDefault="00FB079F" w:rsidP="00F11D9D">
            <w:pPr>
              <w:pStyle w:val="berschrift1"/>
            </w:pPr>
          </w:p>
        </w:tc>
      </w:tr>
      <w:tr w:rsidR="008168DD" w14:paraId="3B9180D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41AB7E5" w14:textId="77777777" w:rsidR="008168DD" w:rsidRPr="0026225A" w:rsidRDefault="008A503A" w:rsidP="006F110C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26225A">
              <w:rPr>
                <w:noProof/>
                <w:color w:val="000000" w:themeColor="text1"/>
              </w:rPr>
              <w:drawing>
                <wp:inline distT="0" distB="0" distL="0" distR="0" wp14:anchorId="1F6276B2" wp14:editId="1F704B54">
                  <wp:extent cx="612000" cy="536112"/>
                  <wp:effectExtent l="0" t="0" r="0" b="0"/>
                  <wp:docPr id="5" name="Grafik 5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338AE" w14:textId="77777777" w:rsidR="008A503A" w:rsidRPr="0026225A" w:rsidRDefault="008A503A" w:rsidP="006F110C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26225A">
              <w:rPr>
                <w:noProof/>
                <w:color w:val="000000" w:themeColor="text1"/>
              </w:rPr>
              <w:drawing>
                <wp:inline distT="0" distB="0" distL="0" distR="0" wp14:anchorId="61563BAF" wp14:editId="443C9AB1">
                  <wp:extent cx="612000" cy="536112"/>
                  <wp:effectExtent l="0" t="0" r="0" b="0"/>
                  <wp:docPr id="7" name="Grafik 7" descr="Warnzeichen „Warnung vor Hindernissen am Boden“ (W007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6837D" w14:textId="4DFC7130" w:rsidR="008A503A" w:rsidRPr="0026225A" w:rsidRDefault="008A503A" w:rsidP="006F110C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26225A">
              <w:rPr>
                <w:noProof/>
                <w:color w:val="000000" w:themeColor="text1"/>
              </w:rPr>
              <w:drawing>
                <wp:inline distT="0" distB="0" distL="0" distR="0" wp14:anchorId="688F0F95" wp14:editId="5355BC77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02E335E" w14:textId="13D29E2E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Verletzung von Personen, Beschädigung von Gegenständen</w:t>
            </w:r>
            <w:r w:rsidR="00137D61">
              <w:rPr>
                <w:lang w:eastAsia="de-DE"/>
              </w:rPr>
              <w:t xml:space="preserve"> und </w:t>
            </w:r>
            <w:r w:rsidRPr="008A503A">
              <w:rPr>
                <w:lang w:eastAsia="de-DE"/>
              </w:rPr>
              <w:t>Einrichtungen</w:t>
            </w:r>
          </w:p>
          <w:p w14:paraId="37897F7E" w14:textId="36819911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Absturzgefahr bei der Störungsbeseitigung</w:t>
            </w:r>
          </w:p>
          <w:p w14:paraId="30ECDF0E" w14:textId="24D9E630" w:rsid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Absturzgefahr in die Schüttgrube des Aufgabeförderers</w:t>
            </w:r>
          </w:p>
          <w:p w14:paraId="4ED19969" w14:textId="77777777" w:rsidR="00B14044" w:rsidRPr="008A503A" w:rsidRDefault="00B14044" w:rsidP="00B14044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Prellungen und Brüche durch Absturz</w:t>
            </w:r>
          </w:p>
          <w:p w14:paraId="0A35E1EC" w14:textId="77777777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Ausrutschen und Stürzen auf angeliefertem Material</w:t>
            </w:r>
          </w:p>
          <w:p w14:paraId="5028D94D" w14:textId="77777777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Ausrutschen, Stolpern und Stürzen beim nicht bestimmungsgemäßen Betreten des Zuführförderers</w:t>
            </w:r>
          </w:p>
          <w:p w14:paraId="4A252C26" w14:textId="77777777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Quetschgefahr beim Fall in die Presskammer</w:t>
            </w:r>
          </w:p>
          <w:p w14:paraId="734F12CF" w14:textId="0F1B8B18" w:rsidR="008168DD" w:rsidRDefault="008A503A" w:rsidP="008A503A">
            <w:pPr>
              <w:pStyle w:val="Listenebene1"/>
            </w:pPr>
            <w:r w:rsidRPr="008A503A">
              <w:rPr>
                <w:lang w:eastAsia="de-DE"/>
              </w:rPr>
              <w:t>Einzugsgefahr an der Ballen-</w:t>
            </w:r>
            <w:proofErr w:type="spellStart"/>
            <w:r w:rsidRPr="008A503A">
              <w:rPr>
                <w:lang w:eastAsia="de-DE"/>
              </w:rPr>
              <w:t>Verschnüreinrichtung</w:t>
            </w:r>
            <w:proofErr w:type="spellEnd"/>
          </w:p>
        </w:tc>
      </w:tr>
      <w:tr w:rsidR="00FB079F" w14:paraId="56FBA9D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8081D5B" w14:textId="77777777" w:rsidR="00FB079F" w:rsidRPr="0026225A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A5B0BD1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1E13003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C46DFA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486D8F1" w14:textId="77777777" w:rsidR="008168DD" w:rsidRPr="0026225A" w:rsidRDefault="008A503A" w:rsidP="006F110C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26225A">
              <w:rPr>
                <w:noProof/>
                <w:color w:val="000000" w:themeColor="text1"/>
              </w:rPr>
              <w:drawing>
                <wp:inline distT="0" distB="0" distL="0" distR="0" wp14:anchorId="25A7A91C" wp14:editId="2C0F4D92">
                  <wp:extent cx="612000" cy="603380"/>
                  <wp:effectExtent l="0" t="0" r="0" b="6350"/>
                  <wp:docPr id="4" name="Grafik 4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00032" w14:textId="3659E8D3" w:rsidR="008A503A" w:rsidRPr="0026225A" w:rsidRDefault="008A503A" w:rsidP="006F110C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26225A">
              <w:rPr>
                <w:noProof/>
                <w:color w:val="000000" w:themeColor="text1"/>
              </w:rPr>
              <w:drawing>
                <wp:inline distT="0" distB="0" distL="0" distR="0" wp14:anchorId="3245C477" wp14:editId="398ECC97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ED1B87C" w14:textId="77777777" w:rsidR="008A503A" w:rsidRPr="008A503A" w:rsidRDefault="008A503A" w:rsidP="001D7061">
            <w:pPr>
              <w:rPr>
                <w:lang w:eastAsia="de-DE"/>
              </w:rPr>
            </w:pPr>
            <w:r w:rsidRPr="008A503A">
              <w:rPr>
                <w:lang w:eastAsia="de-DE"/>
              </w:rPr>
              <w:t>Täglich vor Arbeitsbeginn:</w:t>
            </w:r>
          </w:p>
          <w:p w14:paraId="2E9F42EB" w14:textId="22EB32FD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Ballenpresse auf erkennbare Sicherheitsmängel an Endschaltern, Reißleinensystem und Not-Halt-Tastern</w:t>
            </w:r>
            <w:r w:rsidR="006F110C">
              <w:rPr>
                <w:lang w:eastAsia="de-DE"/>
              </w:rPr>
              <w:t xml:space="preserve"> hin kontrollieren</w:t>
            </w:r>
          </w:p>
          <w:p w14:paraId="2ED6EAFE" w14:textId="5B9D70E4" w:rsid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Funktion des Transpondersystems</w:t>
            </w:r>
            <w:r w:rsidR="006F110C">
              <w:rPr>
                <w:lang w:eastAsia="de-DE"/>
              </w:rPr>
              <w:t xml:space="preserve"> überprüfen</w:t>
            </w:r>
          </w:p>
          <w:p w14:paraId="32789AC4" w14:textId="77777777" w:rsidR="00137D61" w:rsidRPr="008A503A" w:rsidRDefault="00137D61" w:rsidP="00137D61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Transponder</w:t>
            </w:r>
            <w:r>
              <w:rPr>
                <w:lang w:eastAsia="de-DE"/>
              </w:rPr>
              <w:t xml:space="preserve"> anlegen</w:t>
            </w:r>
          </w:p>
          <w:p w14:paraId="10F75B4A" w14:textId="60DAF949" w:rsidR="008A503A" w:rsidRPr="008A503A" w:rsidRDefault="006F110C" w:rsidP="00B14044">
            <w:pPr>
              <w:spacing w:before="120"/>
              <w:rPr>
                <w:lang w:eastAsia="de-DE"/>
              </w:rPr>
            </w:pPr>
            <w:r>
              <w:rPr>
                <w:lang w:eastAsia="de-DE"/>
              </w:rPr>
              <w:t xml:space="preserve">Beim </w:t>
            </w:r>
            <w:r w:rsidR="008A503A" w:rsidRPr="008A503A">
              <w:rPr>
                <w:lang w:eastAsia="de-DE"/>
              </w:rPr>
              <w:t>Betrieb:</w:t>
            </w:r>
          </w:p>
          <w:p w14:paraId="7C75EC76" w14:textId="77777777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Betriebsanleitung beachten</w:t>
            </w:r>
          </w:p>
          <w:p w14:paraId="52FD6F1D" w14:textId="1D0D571C" w:rsidR="008A503A" w:rsidRPr="008A503A" w:rsidRDefault="00137D61" w:rsidP="006F110C">
            <w:pPr>
              <w:pStyle w:val="Listenebene1"/>
              <w:rPr>
                <w:lang w:eastAsia="de-DE"/>
              </w:rPr>
            </w:pPr>
            <w:r>
              <w:t xml:space="preserve">nur gemäß Auftrag und Befähigung nach Unterweisung bedienen; </w:t>
            </w:r>
            <w:r w:rsidR="008A503A" w:rsidRPr="008A503A">
              <w:rPr>
                <w:lang w:eastAsia="de-DE"/>
              </w:rPr>
              <w:t>Mindestalter 18 Jahre</w:t>
            </w:r>
            <w:r>
              <w:rPr>
                <w:lang w:eastAsia="de-DE"/>
              </w:rPr>
              <w:t xml:space="preserve">, </w:t>
            </w:r>
            <w:r w:rsidR="008A503A" w:rsidRPr="008A503A">
              <w:rPr>
                <w:lang w:eastAsia="de-DE"/>
              </w:rPr>
              <w:t>Jugendliche über 16 Jahre nur unter Aufsicht</w:t>
            </w:r>
          </w:p>
          <w:p w14:paraId="5F9C9C4D" w14:textId="77777777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Sicherheitsschuhe tragen</w:t>
            </w:r>
          </w:p>
          <w:p w14:paraId="28FBB7CB" w14:textId="0EA48B31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 xml:space="preserve">Sicherheitseinrichtungen nicht </w:t>
            </w:r>
            <w:r w:rsidR="004F5FF6">
              <w:rPr>
                <w:lang w:eastAsia="de-DE"/>
              </w:rPr>
              <w:t xml:space="preserve">manipulieren und </w:t>
            </w:r>
            <w:r w:rsidRPr="008A503A">
              <w:rPr>
                <w:lang w:eastAsia="de-DE"/>
              </w:rPr>
              <w:t>unwirksam machen</w:t>
            </w:r>
          </w:p>
          <w:p w14:paraId="5BC6B485" w14:textId="66821628" w:rsidR="008A503A" w:rsidRPr="008A503A" w:rsidRDefault="008A503A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>Ballenpresse nicht unter Alkohol, Drogen und Medikamenteneinfluss bedienen</w:t>
            </w:r>
            <w:r w:rsidR="00B14044">
              <w:rPr>
                <w:lang w:eastAsia="de-DE"/>
              </w:rPr>
              <w:t xml:space="preserve"> – </w:t>
            </w:r>
            <w:r w:rsidRPr="008A503A">
              <w:rPr>
                <w:lang w:eastAsia="de-DE"/>
              </w:rPr>
              <w:t>Restalkohol</w:t>
            </w:r>
            <w:r w:rsidR="00B14044">
              <w:rPr>
                <w:lang w:eastAsia="de-DE"/>
              </w:rPr>
              <w:t xml:space="preserve"> </w:t>
            </w:r>
            <w:r w:rsidR="001109BA">
              <w:rPr>
                <w:lang w:eastAsia="de-DE"/>
              </w:rPr>
              <w:t>berücksichtigen</w:t>
            </w:r>
          </w:p>
          <w:p w14:paraId="093A477E" w14:textId="23ADA019" w:rsidR="001D7061" w:rsidRDefault="001D7061" w:rsidP="001D7061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="008A503A" w:rsidRPr="008A503A">
              <w:rPr>
                <w:lang w:eastAsia="de-DE"/>
              </w:rPr>
              <w:t>ach dem Ansprechen einer Sicherheitseinrichtung, z.</w:t>
            </w:r>
            <w:r>
              <w:rPr>
                <w:lang w:eastAsia="de-DE"/>
              </w:rPr>
              <w:t xml:space="preserve"> </w:t>
            </w:r>
            <w:r w:rsidR="008A503A" w:rsidRPr="008A503A">
              <w:rPr>
                <w:lang w:eastAsia="de-DE"/>
              </w:rPr>
              <w:t>B. Reißleine</w:t>
            </w:r>
            <w:r w:rsidR="00B14044">
              <w:rPr>
                <w:lang w:eastAsia="de-DE"/>
              </w:rPr>
              <w:t xml:space="preserve"> oder</w:t>
            </w:r>
            <w:r w:rsidR="008A503A" w:rsidRPr="008A503A">
              <w:rPr>
                <w:lang w:eastAsia="de-DE"/>
              </w:rPr>
              <w:t xml:space="preserve"> Transponder, Ursache für das Ansprechen ermitteln</w:t>
            </w:r>
            <w:r w:rsidR="00B14044">
              <w:rPr>
                <w:lang w:eastAsia="de-DE"/>
              </w:rPr>
              <w:t>;</w:t>
            </w:r>
            <w:r w:rsidR="008A503A" w:rsidRPr="008A503A">
              <w:rPr>
                <w:lang w:eastAsia="de-DE"/>
              </w:rPr>
              <w:t xml:space="preserve"> Anlage erst nach Klärung der Ursache und Wiederherstellung der ordnungsgemäßen Funktion der Sicherheitseinrichtung</w:t>
            </w:r>
            <w:r w:rsidR="00D83E59">
              <w:rPr>
                <w:lang w:eastAsia="de-DE"/>
              </w:rPr>
              <w:t xml:space="preserve"> erneut in Betrieb nehmen</w:t>
            </w:r>
          </w:p>
          <w:p w14:paraId="64B1E840" w14:textId="0B063C0C" w:rsidR="008A503A" w:rsidRPr="008A503A" w:rsidRDefault="008A503A" w:rsidP="00B14044">
            <w:pPr>
              <w:spacing w:before="120"/>
              <w:rPr>
                <w:lang w:eastAsia="de-DE"/>
              </w:rPr>
            </w:pPr>
            <w:r w:rsidRPr="008A503A">
              <w:rPr>
                <w:lang w:eastAsia="de-DE"/>
              </w:rPr>
              <w:t>Bei Betriebsende:</w:t>
            </w:r>
          </w:p>
          <w:p w14:paraId="1827BDE3" w14:textId="5BEDD8F7" w:rsidR="008A503A" w:rsidRPr="008A503A" w:rsidRDefault="004F5FF6" w:rsidP="008A503A">
            <w:pPr>
              <w:pStyle w:val="Listenebene1"/>
              <w:rPr>
                <w:lang w:eastAsia="de-DE"/>
              </w:rPr>
            </w:pPr>
            <w:r w:rsidRPr="008A503A">
              <w:rPr>
                <w:lang w:eastAsia="de-DE"/>
              </w:rPr>
              <w:t xml:space="preserve">zur Sicherung gegen unbefugte Benutzung Schlüssel </w:t>
            </w:r>
            <w:r w:rsidR="008A503A" w:rsidRPr="008A503A">
              <w:rPr>
                <w:lang w:eastAsia="de-DE"/>
              </w:rPr>
              <w:t xml:space="preserve">abziehen </w:t>
            </w:r>
          </w:p>
          <w:p w14:paraId="69E47419" w14:textId="47AC70C0" w:rsidR="008168DD" w:rsidRDefault="008A503A" w:rsidP="008A503A">
            <w:pPr>
              <w:pStyle w:val="Listenebene1"/>
            </w:pPr>
            <w:r w:rsidRPr="008A503A">
              <w:t>Ballenpresse vom Netz trennen</w:t>
            </w:r>
          </w:p>
        </w:tc>
      </w:tr>
      <w:tr w:rsidR="00F12127" w14:paraId="1FAAAE5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6003F66" w14:textId="77777777" w:rsidR="00FB079F" w:rsidRPr="0026225A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28D0B97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8026A09" w14:textId="77777777" w:rsidR="00FB079F" w:rsidRDefault="00FB079F" w:rsidP="00F11D9D">
            <w:pPr>
              <w:pStyle w:val="berschrift1"/>
            </w:pPr>
          </w:p>
        </w:tc>
      </w:tr>
      <w:tr w:rsidR="009D7F7C" w14:paraId="4DF2B8F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AC1143D" w14:textId="4049DE17" w:rsidR="009D7F7C" w:rsidRPr="0026225A" w:rsidRDefault="008A503A" w:rsidP="006F110C">
            <w:pPr>
              <w:spacing w:before="40" w:after="4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6225A">
              <w:rPr>
                <w:noProof/>
                <w:color w:val="000000" w:themeColor="text1"/>
              </w:rPr>
              <w:drawing>
                <wp:inline distT="0" distB="0" distL="0" distR="0" wp14:anchorId="6CD9FB2F" wp14:editId="1EF50621">
                  <wp:extent cx="612000" cy="612000"/>
                  <wp:effectExtent l="0" t="0" r="0" b="0"/>
                  <wp:docPr id="44" name="Grafik 44" descr="Verbotszeichen „Schalten verboten“ (P03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87D2D9E" w14:textId="6AF2F5C3" w:rsidR="00B14044" w:rsidRDefault="00B14044" w:rsidP="008A503A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Betrieb bei</w:t>
            </w:r>
            <w:r w:rsidRPr="008A503A">
              <w:rPr>
                <w:lang w:eastAsia="de-DE"/>
              </w:rPr>
              <w:t xml:space="preserve"> sicherheitstechnisch relevante</w:t>
            </w:r>
            <w:r>
              <w:rPr>
                <w:lang w:eastAsia="de-DE"/>
              </w:rPr>
              <w:t>n</w:t>
            </w:r>
            <w:r w:rsidRPr="008A503A">
              <w:rPr>
                <w:lang w:eastAsia="de-DE"/>
              </w:rPr>
              <w:t xml:space="preserve"> Mängel</w:t>
            </w:r>
            <w:r>
              <w:rPr>
                <w:lang w:eastAsia="de-DE"/>
              </w:rPr>
              <w:t>n</w:t>
            </w:r>
            <w:r w:rsidRPr="008A503A">
              <w:rPr>
                <w:lang w:eastAsia="de-DE"/>
              </w:rPr>
              <w:t xml:space="preserve"> sofort einstellen</w:t>
            </w:r>
            <w:r w:rsidR="00D83E59">
              <w:rPr>
                <w:lang w:eastAsia="de-DE"/>
              </w:rPr>
              <w:t xml:space="preserve"> und Presse gegen weitere Benutzung sichern</w:t>
            </w:r>
          </w:p>
          <w:p w14:paraId="6425789C" w14:textId="274AB7E2" w:rsidR="008A503A" w:rsidRPr="008A503A" w:rsidRDefault="001D7061" w:rsidP="008A503A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v</w:t>
            </w:r>
            <w:r w:rsidR="008A503A" w:rsidRPr="008A503A">
              <w:rPr>
                <w:lang w:eastAsia="de-DE"/>
              </w:rPr>
              <w:t>or der Störungsbeseitigung Ballenpresse ausschalten und gegen Wiedereinschalten sichern</w:t>
            </w:r>
          </w:p>
          <w:p w14:paraId="0C90EBB1" w14:textId="2E0AF5E3" w:rsidR="008A503A" w:rsidRPr="008A503A" w:rsidRDefault="001D7061" w:rsidP="008A503A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z</w:t>
            </w:r>
            <w:r w:rsidR="008A503A" w:rsidRPr="008A503A">
              <w:rPr>
                <w:lang w:eastAsia="de-DE"/>
              </w:rPr>
              <w:t>ur Störungsbeseitigung dafür vorgesehene Stange</w:t>
            </w:r>
            <w:r w:rsidR="008A503A" w:rsidRPr="008A503A">
              <w:rPr>
                <w:color w:val="FF0000"/>
                <w:lang w:eastAsia="de-DE"/>
              </w:rPr>
              <w:t xml:space="preserve"> </w:t>
            </w:r>
            <w:r w:rsidR="008A503A" w:rsidRPr="008A503A">
              <w:rPr>
                <w:lang w:eastAsia="de-DE"/>
              </w:rPr>
              <w:t>und Haken verwenden</w:t>
            </w:r>
          </w:p>
          <w:p w14:paraId="2EAE91CF" w14:textId="4A45BE12" w:rsidR="008A503A" w:rsidRPr="008A503A" w:rsidRDefault="001D7061" w:rsidP="008A503A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8A503A" w:rsidRPr="008A503A">
              <w:rPr>
                <w:lang w:eastAsia="de-DE"/>
              </w:rPr>
              <w:t>uf der Arbeitsplattform keine Tritte, Leitern o. Ä. verwenden</w:t>
            </w:r>
          </w:p>
          <w:p w14:paraId="1C323A49" w14:textId="206962EB" w:rsidR="00B14044" w:rsidRDefault="00B14044" w:rsidP="00B14044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1B390384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3AFC422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390440B7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33389C3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308689B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5489439" w14:textId="77777777" w:rsidR="009D7F7C" w:rsidRPr="00F11D9D" w:rsidRDefault="008D58F7" w:rsidP="006F110C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5FE2F334" wp14:editId="2098ED3B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C6B5487" w14:textId="77777777" w:rsidR="0008036B" w:rsidRDefault="007142AD" w:rsidP="008A503A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3C96A8C4" w14:textId="77777777" w:rsidR="007142AD" w:rsidRDefault="0008036B" w:rsidP="008A503A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7AD54C6E" w14:textId="77777777" w:rsidR="007142AD" w:rsidRDefault="007142AD" w:rsidP="008A503A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3E20102" w14:textId="77777777" w:rsidR="007142AD" w:rsidRDefault="00F06650" w:rsidP="008A503A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704D9D0A" w14:textId="2162CC62" w:rsidR="009D7F7C" w:rsidRDefault="00E53728" w:rsidP="008A503A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B14044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B14044">
              <w:t xml:space="preserve"> (Was?)</w:t>
            </w:r>
          </w:p>
          <w:p w14:paraId="6C8E7760" w14:textId="58273302" w:rsidR="008A503A" w:rsidRDefault="00AD0AE3" w:rsidP="00B14044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0CBCE4F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45D5A31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C59CC2F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BFB24BB" w14:textId="77777777" w:rsidR="009D7F7C" w:rsidRDefault="009D7F7C" w:rsidP="00F11D9D">
            <w:pPr>
              <w:pStyle w:val="berschrift1"/>
            </w:pPr>
          </w:p>
        </w:tc>
      </w:tr>
      <w:tr w:rsidR="008822F8" w14:paraId="5B7CA65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45A79E35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700B0616" w14:textId="05CB2EE2" w:rsidR="008A503A" w:rsidRPr="008A503A" w:rsidRDefault="008A503A" w:rsidP="008A503A">
            <w:pPr>
              <w:pStyle w:val="Listenebene1"/>
              <w:rPr>
                <w:snapToGrid w:val="0"/>
                <w:lang w:eastAsia="de-DE"/>
              </w:rPr>
            </w:pPr>
            <w:r w:rsidRPr="008A503A">
              <w:rPr>
                <w:snapToGrid w:val="0"/>
                <w:lang w:eastAsia="de-DE"/>
              </w:rPr>
              <w:t>Instandhaltung nur durch hiermit beauftragte</w:t>
            </w:r>
            <w:r w:rsidR="00D83E59">
              <w:rPr>
                <w:snapToGrid w:val="0"/>
                <w:lang w:eastAsia="de-DE"/>
              </w:rPr>
              <w:t>,</w:t>
            </w:r>
            <w:r w:rsidRPr="008A503A">
              <w:rPr>
                <w:snapToGrid w:val="0"/>
                <w:lang w:eastAsia="de-DE"/>
              </w:rPr>
              <w:t xml:space="preserve"> befähigte Personen</w:t>
            </w:r>
            <w:r w:rsidR="00B14044">
              <w:rPr>
                <w:snapToGrid w:val="0"/>
                <w:lang w:eastAsia="de-DE"/>
              </w:rPr>
              <w:t xml:space="preserve"> durchführen lassen</w:t>
            </w:r>
          </w:p>
          <w:p w14:paraId="71F57279" w14:textId="1286A2AA" w:rsidR="008A503A" w:rsidRPr="008A503A" w:rsidRDefault="008A503A" w:rsidP="008A503A">
            <w:pPr>
              <w:pStyle w:val="Listenebene1"/>
              <w:rPr>
                <w:snapToGrid w:val="0"/>
                <w:lang w:eastAsia="de-DE"/>
              </w:rPr>
            </w:pPr>
            <w:r w:rsidRPr="008A503A">
              <w:rPr>
                <w:snapToGrid w:val="0"/>
                <w:lang w:eastAsia="de-DE"/>
              </w:rPr>
              <w:t xml:space="preserve">Wartungsintervalle </w:t>
            </w:r>
            <w:r w:rsidR="001109BA">
              <w:rPr>
                <w:snapToGrid w:val="0"/>
                <w:lang w:eastAsia="de-DE"/>
              </w:rPr>
              <w:t xml:space="preserve">(Welche?) </w:t>
            </w:r>
            <w:r w:rsidRPr="008A503A">
              <w:rPr>
                <w:snapToGrid w:val="0"/>
                <w:lang w:eastAsia="de-DE"/>
              </w:rPr>
              <w:t>nach Herstellerangaben einhalten</w:t>
            </w:r>
          </w:p>
          <w:p w14:paraId="4A6D3AFC" w14:textId="55243842" w:rsidR="008822F8" w:rsidRPr="008822F8" w:rsidRDefault="001D7061" w:rsidP="008A503A">
            <w:pPr>
              <w:pStyle w:val="Listenebene1"/>
            </w:pPr>
            <w:r>
              <w:rPr>
                <w:snapToGrid w:val="0"/>
              </w:rPr>
              <w:t>r</w:t>
            </w:r>
            <w:r w:rsidR="008A503A" w:rsidRPr="008A503A">
              <w:rPr>
                <w:snapToGrid w:val="0"/>
              </w:rPr>
              <w:t xml:space="preserve">egelmäßige Prüfung </w:t>
            </w:r>
            <w:r w:rsidR="001109BA">
              <w:rPr>
                <w:snapToGrid w:val="0"/>
              </w:rPr>
              <w:t xml:space="preserve">(Intervall) </w:t>
            </w:r>
            <w:r w:rsidR="008A503A" w:rsidRPr="008A503A">
              <w:rPr>
                <w:snapToGrid w:val="0"/>
              </w:rPr>
              <w:t>durch befähigte Person</w:t>
            </w:r>
            <w:r w:rsidR="00B14044">
              <w:rPr>
                <w:snapToGrid w:val="0"/>
              </w:rPr>
              <w:t xml:space="preserve"> sicherstellen</w:t>
            </w:r>
          </w:p>
        </w:tc>
      </w:tr>
    </w:tbl>
    <w:p w14:paraId="58056A49" w14:textId="77777777" w:rsidR="000D5C63" w:rsidRDefault="00C82C24" w:rsidP="00357BA4">
      <w:r>
        <w:t>Datum, Unterschrift</w:t>
      </w:r>
    </w:p>
    <w:p w14:paraId="62CB4BD5" w14:textId="77777777" w:rsidR="00C82C24" w:rsidRDefault="00C82C24" w:rsidP="00357BA4"/>
    <w:p w14:paraId="2C291800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1938" w14:textId="77777777" w:rsidR="00426FFE" w:rsidRDefault="00426FFE" w:rsidP="005C4990">
      <w:r>
        <w:separator/>
      </w:r>
    </w:p>
  </w:endnote>
  <w:endnote w:type="continuationSeparator" w:id="0">
    <w:p w14:paraId="62EFE5A1" w14:textId="77777777" w:rsidR="00426FFE" w:rsidRDefault="00426FFE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D8BF" w14:textId="77777777" w:rsidR="00426FFE" w:rsidRDefault="00426FFE" w:rsidP="005C4990">
      <w:r>
        <w:separator/>
      </w:r>
    </w:p>
  </w:footnote>
  <w:footnote w:type="continuationSeparator" w:id="0">
    <w:p w14:paraId="6853552C" w14:textId="77777777" w:rsidR="00426FFE" w:rsidRDefault="00426FFE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2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09BA"/>
    <w:rsid w:val="001140B7"/>
    <w:rsid w:val="00116FE4"/>
    <w:rsid w:val="001207AD"/>
    <w:rsid w:val="001213D2"/>
    <w:rsid w:val="00135960"/>
    <w:rsid w:val="00137D61"/>
    <w:rsid w:val="001400E0"/>
    <w:rsid w:val="00154F62"/>
    <w:rsid w:val="00173E71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061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6225A"/>
    <w:rsid w:val="00271A97"/>
    <w:rsid w:val="00275C99"/>
    <w:rsid w:val="002810B5"/>
    <w:rsid w:val="00297769"/>
    <w:rsid w:val="00297E9A"/>
    <w:rsid w:val="002A15F6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26FFE"/>
    <w:rsid w:val="00431D58"/>
    <w:rsid w:val="004360F6"/>
    <w:rsid w:val="004371EB"/>
    <w:rsid w:val="004400BA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4F5FF6"/>
    <w:rsid w:val="004F6919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04DC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97894"/>
    <w:rsid w:val="006B16C8"/>
    <w:rsid w:val="006B2F85"/>
    <w:rsid w:val="006B522F"/>
    <w:rsid w:val="006C6F1C"/>
    <w:rsid w:val="006D1AD3"/>
    <w:rsid w:val="006D591D"/>
    <w:rsid w:val="006E0C23"/>
    <w:rsid w:val="006E3E97"/>
    <w:rsid w:val="006F110C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0EC3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503A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1C9A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4044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0FF7"/>
    <w:rsid w:val="00CA4EC6"/>
    <w:rsid w:val="00CC140B"/>
    <w:rsid w:val="00CD246E"/>
    <w:rsid w:val="00CD4031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3E59"/>
    <w:rsid w:val="00D92536"/>
    <w:rsid w:val="00D95804"/>
    <w:rsid w:val="00DA7BF2"/>
    <w:rsid w:val="00DB49FD"/>
    <w:rsid w:val="00DB4E4A"/>
    <w:rsid w:val="00DB702F"/>
    <w:rsid w:val="00DD58D8"/>
    <w:rsid w:val="00E02CCB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D08431"/>
  <w15:docId w15:val="{9C9507DB-C3D5-428F-AE66-BD3026D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8A503A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A503A"/>
    <w:pPr>
      <w:spacing w:after="120" w:line="276" w:lineRule="auto"/>
    </w:pPr>
    <w:rPr>
      <w:rFonts w:asciiTheme="minorHAnsi" w:eastAsia="Times New Roman" w:hAnsiTheme="minorHAnsi" w:cs="Times New Roman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A503A"/>
    <w:rPr>
      <w:rFonts w:asciiTheme="minorHAnsi" w:eastAsia="Times New Roman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3BA0-5D38-4CDB-B044-AA191FC7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100-9 - Kanalballenpressen - Muster-Betriebsanweisung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100-9 - Kanalballenpressen - Muster-Betriebsanweisung</dc:title>
  <dc:creator>Berufsgenossenschaft Handel und Warenlogistik (BGHW)</dc:creator>
  <cp:lastModifiedBy>Richarz, Saskia</cp:lastModifiedBy>
  <cp:revision>16</cp:revision>
  <cp:lastPrinted>2024-07-19T05:45:00Z</cp:lastPrinted>
  <dcterms:created xsi:type="dcterms:W3CDTF">2024-09-11T07:23:00Z</dcterms:created>
  <dcterms:modified xsi:type="dcterms:W3CDTF">2026-03-27T04:23:00Z</dcterms:modified>
</cp:coreProperties>
</file>