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4F138E4C" w14:textId="77777777" w:rsidTr="00802EE7">
        <w:trPr>
          <w:jc w:val="center"/>
        </w:trPr>
        <w:tc>
          <w:tcPr>
            <w:tcW w:w="3214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7042EBCE" w14:textId="77777777" w:rsidR="00FB079F" w:rsidRDefault="00FB079F" w:rsidP="00F11D9D">
            <w:r>
              <w:t>Firma:</w:t>
            </w:r>
          </w:p>
        </w:tc>
        <w:tc>
          <w:tcPr>
            <w:tcW w:w="4254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525D4142" w14:textId="77777777" w:rsidR="00FB079F" w:rsidRPr="007A4A3C" w:rsidRDefault="00FB079F" w:rsidP="007A4A3C">
            <w:pPr>
              <w:pStyle w:val="Titel"/>
            </w:pPr>
            <w:r w:rsidRPr="007A4A3C">
              <w:t>Betriebsanweisung</w:t>
            </w:r>
          </w:p>
          <w:p w14:paraId="5E9D71E4" w14:textId="77777777" w:rsidR="007A4A3C" w:rsidRPr="007A4A3C" w:rsidRDefault="005F3EE4" w:rsidP="007A4A3C">
            <w:pPr>
              <w:pStyle w:val="Titel"/>
            </w:pPr>
            <w:r>
              <w:t>Fahrzeug-</w:t>
            </w:r>
            <w:r w:rsidR="00813580">
              <w:t>Hubladebühnen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59272DC4" w14:textId="2154A64C" w:rsidR="00FB079F" w:rsidRDefault="00FB079F" w:rsidP="00F11D9D">
            <w:pPr>
              <w:jc w:val="right"/>
            </w:pPr>
            <w:r>
              <w:t>Stand: TT.MM.</w:t>
            </w:r>
            <w:r w:rsidR="00EC2EFA">
              <w:t>JJJJ</w:t>
            </w:r>
          </w:p>
        </w:tc>
      </w:tr>
      <w:tr w:rsidR="00FB079F" w14:paraId="1286E63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C46C823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278A7FB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69D103AD" w14:textId="77777777" w:rsidR="00FB079F" w:rsidRDefault="00FB079F" w:rsidP="00F11D9D">
            <w:pPr>
              <w:pStyle w:val="berschrift1"/>
            </w:pPr>
          </w:p>
        </w:tc>
      </w:tr>
      <w:tr w:rsidR="008168DD" w14:paraId="79C531B2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C3B42DE" w14:textId="77777777" w:rsidR="008168DD" w:rsidRPr="0057075B" w:rsidRDefault="008168DD" w:rsidP="00F11D9D">
            <w:r w:rsidRPr="0057075B">
              <w:t>Betrieb</w:t>
            </w:r>
            <w:r w:rsidR="00D63F32">
              <w:t>:</w:t>
            </w:r>
            <w:r w:rsidR="00FC7485">
              <w:t xml:space="preserve"> </w:t>
            </w:r>
          </w:p>
          <w:p w14:paraId="68812BE4" w14:textId="77777777" w:rsidR="008168DD" w:rsidRPr="0057075B" w:rsidRDefault="008168DD" w:rsidP="00F11D9D">
            <w:r w:rsidRPr="0057075B">
              <w:t>Arbeitsbereich, Arbeitsplatz</w:t>
            </w:r>
            <w:r w:rsidR="00D63F32">
              <w:t>:</w:t>
            </w:r>
          </w:p>
          <w:p w14:paraId="3E7DC396" w14:textId="77777777" w:rsidR="008168DD" w:rsidRPr="00F11D9D" w:rsidRDefault="008168DD" w:rsidP="00F11D9D">
            <w:r w:rsidRPr="00F11D9D">
              <w:t>Tätigkeit</w:t>
            </w:r>
            <w:r w:rsidR="00D63F32">
              <w:t>:</w:t>
            </w:r>
            <w:r w:rsidR="005F3EE4">
              <w:t xml:space="preserve"> </w:t>
            </w:r>
            <w:r w:rsidR="00EF20C1">
              <w:t xml:space="preserve">Arbeiten mit </w:t>
            </w:r>
            <w:r w:rsidR="005F3EE4">
              <w:t>Hubladebühnen</w:t>
            </w:r>
            <w:r w:rsidR="00EF20C1">
              <w:t xml:space="preserve"> an Fahrzeugen</w:t>
            </w:r>
          </w:p>
        </w:tc>
      </w:tr>
      <w:tr w:rsidR="00FB079F" w14:paraId="0D89CE5A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D10828F" w14:textId="77777777" w:rsidR="00FB079F" w:rsidRPr="005F3EE4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D6D7C65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C49FD5F" w14:textId="77777777" w:rsidR="00FB079F" w:rsidRDefault="00FB079F" w:rsidP="00F11D9D">
            <w:pPr>
              <w:pStyle w:val="berschrift1"/>
            </w:pPr>
          </w:p>
        </w:tc>
      </w:tr>
      <w:tr w:rsidR="008168DD" w14:paraId="67A3F972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ABE05F1" w14:textId="77777777" w:rsidR="008168DD" w:rsidRDefault="005F3EE4" w:rsidP="00DA0E7D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7312286" wp14:editId="030613C6">
                  <wp:extent cx="612000" cy="536112"/>
                  <wp:effectExtent l="0" t="0" r="0" b="0"/>
                  <wp:docPr id="2" name="Grafik 2" descr="Warnzeichen „Warnung vor Absturzgefahr“ (W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6F80B" w14:textId="77777777" w:rsidR="005F3EE4" w:rsidRPr="005F3EE4" w:rsidRDefault="005F3EE4" w:rsidP="00DA0E7D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B314309" wp14:editId="4BE57B46">
                  <wp:extent cx="612000" cy="536112"/>
                  <wp:effectExtent l="0" t="0" r="0" b="0"/>
                  <wp:docPr id="10" name="Grafik 10" descr="Warnzeichen „Warnung vor Quetschgefahr“ (W019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B96A3D3" w14:textId="77777777" w:rsidR="008168DD" w:rsidRDefault="005F3EE4" w:rsidP="00FC7485">
            <w:pPr>
              <w:pStyle w:val="Listenebene1"/>
            </w:pPr>
            <w:r>
              <w:t>Quetschen der Hände zwischen Hubladebühne und Fahrzeugbordwand</w:t>
            </w:r>
          </w:p>
          <w:p w14:paraId="4D17A9B9" w14:textId="77777777" w:rsidR="005F3EE4" w:rsidRDefault="005F3EE4" w:rsidP="00FC7485">
            <w:pPr>
              <w:pStyle w:val="Listenebene1"/>
            </w:pPr>
            <w:r>
              <w:t>Abstürzen von der Hubladebühne</w:t>
            </w:r>
          </w:p>
          <w:p w14:paraId="1FD6F068" w14:textId="77777777" w:rsidR="005F3EE4" w:rsidRDefault="005F3EE4" w:rsidP="00FC7485">
            <w:pPr>
              <w:pStyle w:val="Listenebene1"/>
            </w:pPr>
            <w:r>
              <w:t xml:space="preserve">Verletzung </w:t>
            </w:r>
            <w:proofErr w:type="gramStart"/>
            <w:r>
              <w:t>durch rollende</w:t>
            </w:r>
            <w:proofErr w:type="gramEnd"/>
            <w:r>
              <w:t>, rutschende oder kippende Last, z. B. Rollcontainer</w:t>
            </w:r>
          </w:p>
          <w:p w14:paraId="13D1833A" w14:textId="77777777" w:rsidR="005F3EE4" w:rsidRDefault="005F3EE4" w:rsidP="00FC7485">
            <w:pPr>
              <w:pStyle w:val="Listenebene1"/>
            </w:pPr>
            <w:r>
              <w:t>Quetschen der Füße beim Herablassen der Hubladebühne</w:t>
            </w:r>
          </w:p>
        </w:tc>
      </w:tr>
      <w:tr w:rsidR="00FB079F" w14:paraId="555271A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8A57F28" w14:textId="77777777" w:rsidR="00FB079F" w:rsidRPr="005F3EE4" w:rsidRDefault="00FB079F" w:rsidP="00C34E4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00BD4DC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0F1BFA9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474C78A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6DF543C" w14:textId="77777777" w:rsidR="008168DD" w:rsidRDefault="00257273" w:rsidP="00DA0E7D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B71674" wp14:editId="33E53ACE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F600E" w14:textId="77777777" w:rsidR="00257273" w:rsidRPr="005F3EE4" w:rsidRDefault="00257273" w:rsidP="00DA0E7D">
            <w:pPr>
              <w:spacing w:after="40"/>
              <w:jc w:val="center"/>
              <w:rPr>
                <w:i/>
                <w:sz w:val="18"/>
                <w:szCs w:val="18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C0DC26E" wp14:editId="36E8EEBF">
                  <wp:extent cx="600075" cy="600075"/>
                  <wp:effectExtent l="19050" t="0" r="9525" b="0"/>
                  <wp:docPr id="67" name="Bild 4" descr="Gebotszeichen „Anleitung beachten“ (M002) gemäß DIN EN ISO 7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304E641" w14:textId="77777777" w:rsidR="005F3EE4" w:rsidRDefault="005F3EE4" w:rsidP="005F3EE4">
            <w:pPr>
              <w:pStyle w:val="Listenebene1"/>
            </w:pPr>
            <w:r>
              <w:t xml:space="preserve">Hubladebühnen </w:t>
            </w:r>
            <w:r w:rsidR="00EF20C1">
              <w:t xml:space="preserve">nur gemäß Auftrag und Befähigung nach Unterweisung bedienen; Mindestalter 18 Jahre, </w:t>
            </w:r>
            <w:r>
              <w:t xml:space="preserve">Jugendliche </w:t>
            </w:r>
            <w:r w:rsidR="00041FB0">
              <w:t>über</w:t>
            </w:r>
            <w:r w:rsidR="00EF20C1">
              <w:t xml:space="preserve"> 16 </w:t>
            </w:r>
            <w:r>
              <w:t>Jahren nur unter</w:t>
            </w:r>
            <w:r w:rsidR="000936DD">
              <w:t xml:space="preserve"> </w:t>
            </w:r>
            <w:r>
              <w:t>Aufsicht</w:t>
            </w:r>
          </w:p>
          <w:p w14:paraId="1E023E68" w14:textId="77777777" w:rsidR="005F3EE4" w:rsidRDefault="005F3EE4" w:rsidP="005F3EE4">
            <w:pPr>
              <w:pStyle w:val="Listenebene1"/>
            </w:pPr>
            <w:r>
              <w:t>Schutzschuhe tragen</w:t>
            </w:r>
          </w:p>
          <w:p w14:paraId="5720D9BF" w14:textId="77777777" w:rsidR="005F3EE4" w:rsidRDefault="005F3EE4" w:rsidP="005F3EE4">
            <w:pPr>
              <w:pStyle w:val="Listenebene1"/>
            </w:pPr>
            <w:r>
              <w:t>Rollcontainer gegen Wegrollen sichern</w:t>
            </w:r>
          </w:p>
          <w:p w14:paraId="224E568B" w14:textId="77777777" w:rsidR="005F3EE4" w:rsidRDefault="000936DD" w:rsidP="005F3EE4">
            <w:pPr>
              <w:pStyle w:val="Listenebene1"/>
            </w:pPr>
            <w:r>
              <w:t>a</w:t>
            </w:r>
            <w:r w:rsidR="005F3EE4">
              <w:t>uf sicheren Standplatz achten</w:t>
            </w:r>
          </w:p>
          <w:p w14:paraId="325AEA63" w14:textId="77777777" w:rsidR="005F3EE4" w:rsidRDefault="005F3EE4" w:rsidP="005F3EE4">
            <w:pPr>
              <w:pStyle w:val="Listenebene1"/>
            </w:pPr>
            <w:r>
              <w:t>Haltestangen beim Bedienen der Hubladebühne benutzen</w:t>
            </w:r>
          </w:p>
          <w:p w14:paraId="64DEB446" w14:textId="77777777" w:rsidR="005F3EE4" w:rsidRDefault="000936DD" w:rsidP="005F3EE4">
            <w:pPr>
              <w:pStyle w:val="Listenebene1"/>
            </w:pPr>
            <w:r>
              <w:t>nicht von der Bühne herunterspringen</w:t>
            </w:r>
          </w:p>
          <w:p w14:paraId="4EB6D93D" w14:textId="77777777" w:rsidR="005F3EE4" w:rsidRDefault="000936DD" w:rsidP="005F3EE4">
            <w:pPr>
              <w:pStyle w:val="Listenebene1"/>
            </w:pPr>
            <w:r>
              <w:t>k</w:t>
            </w:r>
            <w:r w:rsidR="005F3EE4">
              <w:t xml:space="preserve">eine </w:t>
            </w:r>
            <w:r>
              <w:t>Mitfahrerinnen und Mitfahrer</w:t>
            </w:r>
            <w:r w:rsidR="005F3EE4">
              <w:t xml:space="preserve"> zulassen</w:t>
            </w:r>
          </w:p>
          <w:p w14:paraId="57B8E402" w14:textId="77777777" w:rsidR="005F3EE4" w:rsidRDefault="005F3EE4" w:rsidP="005F3EE4">
            <w:pPr>
              <w:pStyle w:val="Listenebene1"/>
            </w:pPr>
            <w:r>
              <w:t>Gefahrenbereich beim Bedienen der Hubladebühne beobachten</w:t>
            </w:r>
          </w:p>
          <w:p w14:paraId="6B0FFB50" w14:textId="77777777" w:rsidR="005F3EE4" w:rsidRDefault="005F3EE4" w:rsidP="005F3EE4">
            <w:pPr>
              <w:pStyle w:val="Listenebene1"/>
            </w:pPr>
            <w:r>
              <w:t>Bedienungsanleitung des Herstellers beachten</w:t>
            </w:r>
          </w:p>
          <w:p w14:paraId="5F291D0E" w14:textId="77777777" w:rsidR="008168DD" w:rsidRDefault="005F3EE4" w:rsidP="000936DD">
            <w:pPr>
              <w:pStyle w:val="Listenebene1"/>
            </w:pPr>
            <w:r>
              <w:t>Bühne nicht überladen, Last möglichst nah zum Fahrzeug stellen</w:t>
            </w:r>
            <w:r w:rsidR="000936DD">
              <w:t xml:space="preserve"> und </w:t>
            </w:r>
            <w:r>
              <w:t>Lastangaben des Herstellers beachten</w:t>
            </w:r>
          </w:p>
        </w:tc>
      </w:tr>
      <w:tr w:rsidR="00F12127" w14:paraId="241CD1F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BBC8A75" w14:textId="77777777" w:rsidR="00FB079F" w:rsidRPr="005F3EE4" w:rsidRDefault="00FB079F" w:rsidP="00C34E4A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B189FC4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AB6064F" w14:textId="77777777" w:rsidR="00FB079F" w:rsidRDefault="00FB079F" w:rsidP="00F11D9D">
            <w:pPr>
              <w:pStyle w:val="berschrift1"/>
            </w:pPr>
          </w:p>
        </w:tc>
      </w:tr>
      <w:tr w:rsidR="009D7F7C" w14:paraId="662238D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00AF3B89" w14:textId="77777777" w:rsidR="009D7F7C" w:rsidRPr="005F3EE4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5D8BAB98" w14:textId="77777777" w:rsidR="00EF20C1" w:rsidRDefault="00EF20C1" w:rsidP="00257273">
            <w:pPr>
              <w:pStyle w:val="Listenebene1"/>
            </w:pPr>
            <w:r>
              <w:t>bei Störungen der Hubladebühne im Straßenverkehr: Warnweste anlegen</w:t>
            </w:r>
          </w:p>
          <w:p w14:paraId="5242C23B" w14:textId="77777777" w:rsidR="00257273" w:rsidRDefault="007142AD" w:rsidP="00EF20C1">
            <w:pPr>
              <w:pStyle w:val="Listenebene1"/>
            </w:pPr>
            <w:r>
              <w:t xml:space="preserve">Führungskraft (Name) </w:t>
            </w:r>
            <w:r w:rsidR="00EF20C1">
              <w:t xml:space="preserve">über festgestellte Mängel </w:t>
            </w:r>
            <w:r>
              <w:t>informieren (Tel</w:t>
            </w:r>
            <w:r w:rsidR="00F11218">
              <w:t>efonnummer</w:t>
            </w:r>
            <w:r>
              <w:t>)</w:t>
            </w:r>
          </w:p>
        </w:tc>
      </w:tr>
      <w:tr w:rsidR="009D7F7C" w14:paraId="0D1B12A3" w14:textId="77777777" w:rsidTr="00F50F7F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49EB36B1" w14:textId="77777777" w:rsidR="009D7F7C" w:rsidRPr="005F3EE4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5F9E130B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4E4D78AB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6702B45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2A6BAE0" w14:textId="77777777" w:rsidR="009D7F7C" w:rsidRPr="00F11D9D" w:rsidRDefault="00FC7485" w:rsidP="000475B1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211BE7BC" wp14:editId="4695E2AD">
                  <wp:extent cx="611505" cy="611505"/>
                  <wp:effectExtent l="0" t="0" r="0" b="0"/>
                  <wp:docPr id="1" name="Grafik 1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15BFE0A" w14:textId="77777777" w:rsidR="00D63F32" w:rsidRDefault="007B45CA" w:rsidP="007142AD">
            <w:pPr>
              <w:pStyle w:val="Listenebene1"/>
            </w:pPr>
            <w:r>
              <w:t>Erste Hilfe leisten:</w:t>
            </w:r>
          </w:p>
          <w:p w14:paraId="312D973B" w14:textId="77777777" w:rsidR="007142AD" w:rsidRDefault="007142AD" w:rsidP="00D63F32">
            <w:pPr>
              <w:pStyle w:val="Listenebene2"/>
            </w:pPr>
            <w:r>
              <w:t>Erste</w:t>
            </w:r>
            <w:r w:rsidR="00600B05">
              <w:t>-</w:t>
            </w:r>
            <w:r>
              <w:t>Hilfe-Einrichtungen</w:t>
            </w:r>
            <w:r w:rsidR="00257273">
              <w:t xml:space="preserve">: </w:t>
            </w:r>
            <w:r w:rsidR="00605796">
              <w:t>(</w:t>
            </w:r>
            <w:r w:rsidR="00FC7485">
              <w:t>W</w:t>
            </w:r>
            <w:r w:rsidR="00D478E7">
              <w:t>as</w:t>
            </w:r>
            <w:r w:rsidR="00FC7485">
              <w:t xml:space="preserve"> ist</w:t>
            </w:r>
            <w:r w:rsidR="00D478E7">
              <w:t xml:space="preserve"> wo</w:t>
            </w:r>
            <w:r w:rsidR="00FC7485">
              <w:t>?</w:t>
            </w:r>
            <w:r w:rsidR="00605796">
              <w:t>)</w:t>
            </w:r>
          </w:p>
          <w:p w14:paraId="3D0F84DB" w14:textId="77777777" w:rsidR="007142AD" w:rsidRDefault="007142AD" w:rsidP="00D63F32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257273">
              <w:t>:</w:t>
            </w:r>
            <w:r w:rsidR="00812AE1">
              <w:t xml:space="preserve"> </w:t>
            </w:r>
            <w:r w:rsidR="00605796">
              <w:t>(</w:t>
            </w:r>
            <w:r w:rsidR="00D478E7">
              <w:t>Name</w:t>
            </w:r>
            <w:r w:rsidR="00FC7485">
              <w:t>n</w:t>
            </w:r>
            <w:r w:rsidR="00D478E7">
              <w:t xml:space="preserve">, </w:t>
            </w:r>
            <w:r w:rsidR="00FC7485">
              <w:t>Telefonnummern</w:t>
            </w:r>
            <w:r w:rsidR="00605796">
              <w:t>)</w:t>
            </w:r>
          </w:p>
          <w:p w14:paraId="176897E8" w14:textId="77777777" w:rsidR="007142AD" w:rsidRDefault="00257273" w:rsidP="00D63F32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22986AA9" w14:textId="77777777" w:rsidR="009D7F7C" w:rsidRDefault="00600B05" w:rsidP="00D63F32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7B45CA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257273">
              <w:t xml:space="preserve">: </w:t>
            </w:r>
            <w:r w:rsidR="00605796">
              <w:t>(</w:t>
            </w:r>
            <w:r w:rsidR="00FC7485">
              <w:t>W</w:t>
            </w:r>
            <w:r w:rsidR="00D478E7">
              <w:t>as</w:t>
            </w:r>
            <w:r w:rsidR="00FC7485">
              <w:t>?</w:t>
            </w:r>
            <w:r w:rsidR="00605796">
              <w:t>)</w:t>
            </w:r>
          </w:p>
          <w:p w14:paraId="4C40A4E5" w14:textId="77777777" w:rsidR="00D63F32" w:rsidRDefault="00D63F32" w:rsidP="00D63F32">
            <w:pPr>
              <w:pStyle w:val="Listenebene1"/>
            </w:pPr>
            <w:r>
              <w:t>Erste</w:t>
            </w:r>
            <w:r w:rsidR="00600B05">
              <w:t>-</w:t>
            </w:r>
            <w:r>
              <w:t>Hilfe-Leistungen dokumentieren</w:t>
            </w:r>
          </w:p>
        </w:tc>
      </w:tr>
      <w:tr w:rsidR="009D7F7C" w14:paraId="459BEE3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DCC5A12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3A84BCA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A7069E8" w14:textId="77777777" w:rsidR="009D7F7C" w:rsidRDefault="009D7F7C" w:rsidP="00F11D9D">
            <w:pPr>
              <w:pStyle w:val="berschrift1"/>
            </w:pPr>
          </w:p>
        </w:tc>
      </w:tr>
      <w:tr w:rsidR="008822F8" w14:paraId="653C719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0A0E23BA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5B7D3A16" w14:textId="77777777" w:rsidR="000936DD" w:rsidRDefault="000936DD" w:rsidP="000936DD">
            <w:pPr>
              <w:pStyle w:val="Listenebene1"/>
            </w:pPr>
            <w:r>
              <w:t xml:space="preserve">Wartungs- und Prüfintervalle </w:t>
            </w:r>
            <w:r w:rsidR="00EF20C1">
              <w:t xml:space="preserve">(Angabe) </w:t>
            </w:r>
            <w:r>
              <w:t>einhalten</w:t>
            </w:r>
          </w:p>
          <w:p w14:paraId="6E2A3B93" w14:textId="77777777" w:rsidR="008822F8" w:rsidRPr="008822F8" w:rsidRDefault="00257273" w:rsidP="00257273">
            <w:pPr>
              <w:pStyle w:val="Listenebene1"/>
            </w:pPr>
            <w:r w:rsidRPr="00257273">
              <w:t>Instandhaltung nur durch Werkstattpersonal oder hiermit beauftragtes Personal</w:t>
            </w:r>
            <w:r>
              <w:t xml:space="preserve"> durchführen lassen</w:t>
            </w:r>
          </w:p>
        </w:tc>
      </w:tr>
    </w:tbl>
    <w:p w14:paraId="5ADE52A5" w14:textId="77777777" w:rsidR="000D5C63" w:rsidRDefault="00C82C24" w:rsidP="00357BA4">
      <w:r>
        <w:t>Datum, Unterschrift</w:t>
      </w:r>
    </w:p>
    <w:p w14:paraId="1E1564E7" w14:textId="77777777" w:rsidR="00C82C24" w:rsidRDefault="00C82C24" w:rsidP="00357BA4"/>
    <w:p w14:paraId="35CCA70B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C000" w14:textId="77777777" w:rsidR="004C67EC" w:rsidRDefault="004C67EC" w:rsidP="005C4990">
      <w:r>
        <w:separator/>
      </w:r>
    </w:p>
  </w:endnote>
  <w:endnote w:type="continuationSeparator" w:id="0">
    <w:p w14:paraId="63C312E1" w14:textId="77777777" w:rsidR="004C67EC" w:rsidRDefault="004C67EC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B360" w14:textId="77777777" w:rsidR="004C67EC" w:rsidRDefault="004C67EC" w:rsidP="005C4990">
      <w:r>
        <w:separator/>
      </w:r>
    </w:p>
  </w:footnote>
  <w:footnote w:type="continuationSeparator" w:id="0">
    <w:p w14:paraId="3AC92734" w14:textId="77777777" w:rsidR="004C67EC" w:rsidRDefault="004C67EC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8"/>
  </w:num>
  <w:num w:numId="8">
    <w:abstractNumId w:val="0"/>
  </w:num>
  <w:num w:numId="9">
    <w:abstractNumId w:val="13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9"/>
  </w:num>
  <w:num w:numId="16">
    <w:abstractNumId w:val="29"/>
  </w:num>
  <w:num w:numId="17">
    <w:abstractNumId w:val="14"/>
  </w:num>
  <w:num w:numId="18">
    <w:abstractNumId w:val="17"/>
  </w:num>
  <w:num w:numId="19">
    <w:abstractNumId w:val="11"/>
  </w:num>
  <w:num w:numId="20">
    <w:abstractNumId w:val="24"/>
  </w:num>
  <w:num w:numId="21">
    <w:abstractNumId w:val="8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9"/>
  </w:num>
  <w:num w:numId="29">
    <w:abstractNumId w:val="40"/>
  </w:num>
  <w:num w:numId="30">
    <w:abstractNumId w:val="15"/>
  </w:num>
  <w:num w:numId="31">
    <w:abstractNumId w:val="12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10"/>
  </w:num>
  <w:num w:numId="39">
    <w:abstractNumId w:val="3"/>
  </w:num>
  <w:num w:numId="40">
    <w:abstractNumId w:val="20"/>
  </w:num>
  <w:num w:numId="41">
    <w:abstractNumId w:val="5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80"/>
    <w:rsid w:val="0000510F"/>
    <w:rsid w:val="00013BA9"/>
    <w:rsid w:val="00014D33"/>
    <w:rsid w:val="00022C69"/>
    <w:rsid w:val="00023611"/>
    <w:rsid w:val="00033502"/>
    <w:rsid w:val="000356C0"/>
    <w:rsid w:val="00037B84"/>
    <w:rsid w:val="00041FB0"/>
    <w:rsid w:val="000475B1"/>
    <w:rsid w:val="00047CF0"/>
    <w:rsid w:val="00061A4C"/>
    <w:rsid w:val="00066847"/>
    <w:rsid w:val="00081BA8"/>
    <w:rsid w:val="000936DD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D768B"/>
    <w:rsid w:val="000E0ABF"/>
    <w:rsid w:val="000F1D4F"/>
    <w:rsid w:val="001140B7"/>
    <w:rsid w:val="00116FE4"/>
    <w:rsid w:val="001207AD"/>
    <w:rsid w:val="001213D2"/>
    <w:rsid w:val="00135960"/>
    <w:rsid w:val="00136CB4"/>
    <w:rsid w:val="001400E0"/>
    <w:rsid w:val="00154F62"/>
    <w:rsid w:val="001562EC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2688"/>
    <w:rsid w:val="00250812"/>
    <w:rsid w:val="00256231"/>
    <w:rsid w:val="00256D0E"/>
    <w:rsid w:val="00257273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C67EC"/>
    <w:rsid w:val="004D2613"/>
    <w:rsid w:val="004D43C7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7081"/>
    <w:rsid w:val="005C2969"/>
    <w:rsid w:val="005C4990"/>
    <w:rsid w:val="005C61EA"/>
    <w:rsid w:val="005C6218"/>
    <w:rsid w:val="005E3031"/>
    <w:rsid w:val="005E3B07"/>
    <w:rsid w:val="005E5F79"/>
    <w:rsid w:val="005E6465"/>
    <w:rsid w:val="005F3EE4"/>
    <w:rsid w:val="00600B05"/>
    <w:rsid w:val="006033F1"/>
    <w:rsid w:val="00603F62"/>
    <w:rsid w:val="00605796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A11C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87A43"/>
    <w:rsid w:val="007A4A3C"/>
    <w:rsid w:val="007B3820"/>
    <w:rsid w:val="007B45CA"/>
    <w:rsid w:val="007B4EFD"/>
    <w:rsid w:val="007B5FAC"/>
    <w:rsid w:val="007C62A9"/>
    <w:rsid w:val="007C770B"/>
    <w:rsid w:val="007D22D7"/>
    <w:rsid w:val="007D6FF4"/>
    <w:rsid w:val="007D7E60"/>
    <w:rsid w:val="007E0659"/>
    <w:rsid w:val="00802EE7"/>
    <w:rsid w:val="00806729"/>
    <w:rsid w:val="00806E03"/>
    <w:rsid w:val="00812725"/>
    <w:rsid w:val="00812AE1"/>
    <w:rsid w:val="00813580"/>
    <w:rsid w:val="008168DD"/>
    <w:rsid w:val="00816D6B"/>
    <w:rsid w:val="00822324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1730"/>
    <w:rsid w:val="00AD2CEA"/>
    <w:rsid w:val="00AF0299"/>
    <w:rsid w:val="00AF102F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6758C"/>
    <w:rsid w:val="00B757AE"/>
    <w:rsid w:val="00B808D2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4E4A"/>
    <w:rsid w:val="00C354F0"/>
    <w:rsid w:val="00C35FDC"/>
    <w:rsid w:val="00C41755"/>
    <w:rsid w:val="00C703DA"/>
    <w:rsid w:val="00C82C24"/>
    <w:rsid w:val="00C926BA"/>
    <w:rsid w:val="00C93FB9"/>
    <w:rsid w:val="00C956C5"/>
    <w:rsid w:val="00CA4EC6"/>
    <w:rsid w:val="00CB4E4A"/>
    <w:rsid w:val="00CC140B"/>
    <w:rsid w:val="00CD246E"/>
    <w:rsid w:val="00CE09E1"/>
    <w:rsid w:val="00CE2CFE"/>
    <w:rsid w:val="00CF0877"/>
    <w:rsid w:val="00D156B0"/>
    <w:rsid w:val="00D33160"/>
    <w:rsid w:val="00D421DD"/>
    <w:rsid w:val="00D43633"/>
    <w:rsid w:val="00D478E7"/>
    <w:rsid w:val="00D5423E"/>
    <w:rsid w:val="00D563C8"/>
    <w:rsid w:val="00D63F32"/>
    <w:rsid w:val="00D92536"/>
    <w:rsid w:val="00D95804"/>
    <w:rsid w:val="00DA0E7D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1CB2"/>
    <w:rsid w:val="00EC2394"/>
    <w:rsid w:val="00EC2E16"/>
    <w:rsid w:val="00EC2EFA"/>
    <w:rsid w:val="00ED6EA7"/>
    <w:rsid w:val="00ED7D05"/>
    <w:rsid w:val="00ED7E28"/>
    <w:rsid w:val="00EE2DA8"/>
    <w:rsid w:val="00EF20C1"/>
    <w:rsid w:val="00EF2531"/>
    <w:rsid w:val="00EF59BC"/>
    <w:rsid w:val="00EF5EDF"/>
    <w:rsid w:val="00F0111B"/>
    <w:rsid w:val="00F018AD"/>
    <w:rsid w:val="00F0638F"/>
    <w:rsid w:val="00F11218"/>
    <w:rsid w:val="00F11D9D"/>
    <w:rsid w:val="00F12127"/>
    <w:rsid w:val="00F23F52"/>
    <w:rsid w:val="00F424C7"/>
    <w:rsid w:val="00F436FA"/>
    <w:rsid w:val="00F43990"/>
    <w:rsid w:val="00F50F7F"/>
    <w:rsid w:val="00F576A1"/>
    <w:rsid w:val="00F6144C"/>
    <w:rsid w:val="00F62515"/>
    <w:rsid w:val="00F72F37"/>
    <w:rsid w:val="00FB079F"/>
    <w:rsid w:val="00FB70AE"/>
    <w:rsid w:val="00FC7485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1EA76A"/>
  <w15:docId w15:val="{32375893-7C05-48A0-A63D-18970E80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7A4A3C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4A3C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customStyle="1" w:styleId="FormatvorlageRegeln">
    <w:name w:val="Formatvorlage_Regeln"/>
    <w:basedOn w:val="Standard"/>
    <w:rsid w:val="00257273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9EFE4-754D-480B-BEA8-F340D812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100-8 - Fahrzeug-Hubladebühnen - Muster-Betriebsanweisung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100-8 - Fahrzeug-Hubladebühnen - Muster-Betriebsanweisung</dc:title>
  <dc:creator>Berufsgenossenschaft Handel und Warenlogistik (BGHW)</dc:creator>
  <cp:lastModifiedBy>Richarz, Saskia</cp:lastModifiedBy>
  <cp:revision>9</cp:revision>
  <cp:lastPrinted>2024-07-19T05:45:00Z</cp:lastPrinted>
  <dcterms:created xsi:type="dcterms:W3CDTF">2024-09-26T04:51:00Z</dcterms:created>
  <dcterms:modified xsi:type="dcterms:W3CDTF">2026-03-27T04:23:00Z</dcterms:modified>
</cp:coreProperties>
</file>