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77F7C4AD" w14:textId="77777777" w:rsidTr="00E26395">
        <w:tc>
          <w:tcPr>
            <w:tcW w:w="3214" w:type="dxa"/>
            <w:gridSpan w:val="2"/>
            <w:tcBorders>
              <w:top w:val="single" w:sz="36" w:space="0" w:color="AFCA0B"/>
              <w:left w:val="single" w:sz="36" w:space="0" w:color="AFCA0B"/>
              <w:bottom w:val="nil"/>
              <w:right w:val="nil"/>
            </w:tcBorders>
          </w:tcPr>
          <w:p w14:paraId="0E9C7E60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AFCA0B"/>
              <w:left w:val="nil"/>
              <w:bottom w:val="nil"/>
              <w:right w:val="nil"/>
            </w:tcBorders>
          </w:tcPr>
          <w:p w14:paraId="24A8EA4A" w14:textId="77777777" w:rsidR="00FB079F" w:rsidRPr="00043A74" w:rsidRDefault="00FB079F" w:rsidP="00043A74">
            <w:pPr>
              <w:pStyle w:val="Titel"/>
            </w:pPr>
            <w:r w:rsidRPr="00043A74">
              <w:t>Betriebsanweisung</w:t>
            </w:r>
          </w:p>
          <w:p w14:paraId="7F30E24F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>gemäß § 14 BioStoffV</w:t>
            </w:r>
          </w:p>
          <w:p w14:paraId="1166F134" w14:textId="77777777" w:rsidR="00043A74" w:rsidRPr="00FB079F" w:rsidRDefault="00043A74" w:rsidP="00043A74">
            <w:pPr>
              <w:pStyle w:val="Titel"/>
            </w:pPr>
            <w:r w:rsidRPr="00BF3102">
              <w:t xml:space="preserve">Stichwort: Um welche </w:t>
            </w:r>
            <w:r>
              <w:t xml:space="preserve">biologische Einwirkung </w:t>
            </w:r>
            <w:r w:rsidRPr="00BF3102">
              <w:t>geht es?</w:t>
            </w:r>
          </w:p>
        </w:tc>
        <w:tc>
          <w:tcPr>
            <w:tcW w:w="3214" w:type="dxa"/>
            <w:gridSpan w:val="2"/>
            <w:tcBorders>
              <w:top w:val="single" w:sz="36" w:space="0" w:color="AFCA0B"/>
              <w:left w:val="nil"/>
              <w:bottom w:val="nil"/>
              <w:right w:val="single" w:sz="36" w:space="0" w:color="AFCA0B"/>
            </w:tcBorders>
          </w:tcPr>
          <w:p w14:paraId="35401F26" w14:textId="6001A743" w:rsidR="00FB079F" w:rsidRDefault="00FB079F" w:rsidP="00FB079F">
            <w:pPr>
              <w:jc w:val="right"/>
            </w:pPr>
            <w:r>
              <w:t>Stand: TT.MM.</w:t>
            </w:r>
            <w:r w:rsidR="00016137">
              <w:t>JJJJ</w:t>
            </w:r>
          </w:p>
        </w:tc>
      </w:tr>
      <w:tr w:rsidR="00FB079F" w14:paraId="61A1CC17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774112CF" w14:textId="77777777" w:rsidR="00FB079F" w:rsidRPr="00E26395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167B9A0B" w14:textId="77777777" w:rsidR="00FB079F" w:rsidRPr="00E26395" w:rsidRDefault="00F12127" w:rsidP="00C82C24">
            <w:pPr>
              <w:pStyle w:val="berschrift1"/>
            </w:pPr>
            <w:r w:rsidRPr="00E26395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1ED161CE" w14:textId="77777777" w:rsidR="00FB079F" w:rsidRPr="00E26395" w:rsidRDefault="00FB079F" w:rsidP="00C82C24">
            <w:pPr>
              <w:pStyle w:val="berschrift1"/>
            </w:pPr>
          </w:p>
        </w:tc>
      </w:tr>
      <w:tr w:rsidR="008168DD" w14:paraId="64D39224" w14:textId="77777777" w:rsidTr="00E26395">
        <w:tc>
          <w:tcPr>
            <w:tcW w:w="10682" w:type="dxa"/>
            <w:gridSpan w:val="5"/>
            <w:tcBorders>
              <w:top w:val="nil"/>
              <w:left w:val="single" w:sz="36" w:space="0" w:color="AFCA0B"/>
              <w:bottom w:val="nil"/>
              <w:right w:val="single" w:sz="36" w:space="0" w:color="AFCA0B"/>
            </w:tcBorders>
          </w:tcPr>
          <w:p w14:paraId="171F674C" w14:textId="77777777" w:rsidR="008168DD" w:rsidRPr="0057075B" w:rsidRDefault="008168DD" w:rsidP="00411C7E">
            <w:r w:rsidRPr="0057075B">
              <w:t>Betrieb</w:t>
            </w:r>
            <w:r w:rsidR="00497825">
              <w:t>:</w:t>
            </w:r>
          </w:p>
          <w:p w14:paraId="2ACA9964" w14:textId="77777777" w:rsidR="008168DD" w:rsidRPr="0057075B" w:rsidRDefault="008168DD" w:rsidP="00411C7E">
            <w:r w:rsidRPr="0057075B">
              <w:t>Arbeitsbereich, Arbeitsplatz</w:t>
            </w:r>
            <w:r w:rsidR="00497825">
              <w:t>:</w:t>
            </w:r>
          </w:p>
          <w:p w14:paraId="396B4F72" w14:textId="77777777" w:rsidR="008168DD" w:rsidRDefault="008168DD" w:rsidP="00411C7E">
            <w:r w:rsidRPr="0057075B">
              <w:t>Tätigkeit</w:t>
            </w:r>
            <w:r w:rsidR="00497825">
              <w:t>:</w:t>
            </w:r>
          </w:p>
        </w:tc>
      </w:tr>
      <w:tr w:rsidR="00FB079F" w14:paraId="06EF0C82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239A6518" w14:textId="77777777" w:rsidR="00FB079F" w:rsidRPr="00086ECB" w:rsidRDefault="00FB079F" w:rsidP="00086ECB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7525006A" w14:textId="77777777" w:rsidR="00FB079F" w:rsidRPr="00E26395" w:rsidRDefault="00F12127" w:rsidP="00C82C24">
            <w:pPr>
              <w:pStyle w:val="berschrift1"/>
            </w:pPr>
            <w:r w:rsidRPr="00E26395">
              <w:t>Gefahren für Mensch (und Umwelt)</w:t>
            </w:r>
          </w:p>
        </w:tc>
        <w:tc>
          <w:tcPr>
            <w:tcW w:w="1224" w:type="dxa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278DD347" w14:textId="77777777" w:rsidR="00FB079F" w:rsidRPr="00E26395" w:rsidRDefault="00FB079F" w:rsidP="00C82C24">
            <w:pPr>
              <w:pStyle w:val="berschrift1"/>
            </w:pPr>
          </w:p>
        </w:tc>
      </w:tr>
      <w:tr w:rsidR="008168DD" w14:paraId="403F8024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FFFFFF" w:themeColor="background1"/>
            </w:tcBorders>
            <w:vAlign w:val="center"/>
          </w:tcPr>
          <w:p w14:paraId="267A0BF8" w14:textId="5906624A" w:rsidR="00C1413D" w:rsidRPr="00812343" w:rsidRDefault="00C1413D" w:rsidP="00812343">
            <w:pPr>
              <w:spacing w:after="20"/>
              <w:jc w:val="center"/>
              <w:rPr>
                <w:rStyle w:val="Hyperlink"/>
              </w:rPr>
            </w:pPr>
            <w:hyperlink r:id="rId8" w:tooltip="Link zu den Warnzeichen gemäß ASR A1.3 im Kompendium Arbeitsschutz der BGHW" w:history="1">
              <w:r w:rsidRPr="00812343">
                <w:rPr>
                  <w:rStyle w:val="Hyperlink"/>
                </w:rPr>
                <w:t>Warn</w:t>
              </w:r>
              <w:r w:rsidRPr="00812343">
                <w:rPr>
                  <w:rStyle w:val="Hyperlink"/>
                </w:rPr>
                <w:t>z</w:t>
              </w:r>
              <w:r w:rsidRPr="00812343">
                <w:rPr>
                  <w:rStyle w:val="Hyperlink"/>
                </w:rPr>
                <w:t>eichen</w:t>
              </w:r>
            </w:hyperlink>
          </w:p>
          <w:p w14:paraId="1BBF962B" w14:textId="3EE9B2B8" w:rsidR="008168DD" w:rsidRDefault="008168DD" w:rsidP="001A6EE0">
            <w:pPr>
              <w:spacing w:before="40" w:after="40"/>
              <w:jc w:val="center"/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08AA3271" wp14:editId="045DD0A7">
                  <wp:extent cx="612000" cy="529297"/>
                  <wp:effectExtent l="0" t="0" r="0" b="4445"/>
                  <wp:docPr id="25" name="Grafik 1" descr="Warnzeichen &quot;Warnung vor Biogefährdung&quot; (W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Sollte die Grafik nicht angezeigt werden, benutzen Sie bitte unten stehenden Lin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29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AFCA0B"/>
            </w:tcBorders>
          </w:tcPr>
          <w:p w14:paraId="1FF0B947" w14:textId="77777777" w:rsidR="008168DD" w:rsidRPr="00411C7E" w:rsidRDefault="00D31217" w:rsidP="00411C7E">
            <w:pPr>
              <w:pStyle w:val="Listenebene1"/>
            </w:pPr>
            <w:r>
              <w:t xml:space="preserve">hier auflisten: </w:t>
            </w:r>
            <w:r w:rsidR="00497825">
              <w:t>a</w:t>
            </w:r>
            <w:r w:rsidR="008168DD" w:rsidRPr="00411C7E">
              <w:t>m Arbeitsplatz verwendete oder auftretende, tätigkeitsrelevante Biostoffe, die Übertragungswege und gesundheitlichen Wirkungen (infektiös, sensibilisierend, toxisch)</w:t>
            </w:r>
            <w:r w:rsidR="00497825">
              <w:t xml:space="preserve"> </w:t>
            </w:r>
            <w:r w:rsidR="001A6EE0">
              <w:rPr>
                <w:rFonts w:eastAsia="Times New Roman" w:cs="Arial"/>
              </w:rPr>
              <w:t>sowie Krankheitssymptome und Inkubationszeiten</w:t>
            </w:r>
          </w:p>
          <w:p w14:paraId="7100A179" w14:textId="77777777" w:rsidR="008168DD" w:rsidRDefault="008168DD" w:rsidP="001A6EE0">
            <w:pPr>
              <w:pStyle w:val="Listenebene1"/>
            </w:pPr>
            <w:r w:rsidRPr="00411C7E">
              <w:t>bei einer Exposition mit Infektionserregern, z. B. in Laboratorien, in der Versuchstierhaltung, in der Biotechnologie und in Einrichtungen des Gesundheitsdiensts</w:t>
            </w:r>
            <w:r w:rsidR="007A58C9">
              <w:t>,</w:t>
            </w:r>
            <w:r w:rsidRPr="00411C7E">
              <w:t xml:space="preserve"> </w:t>
            </w:r>
            <w:r w:rsidR="001A6EE0">
              <w:t>bitte</w:t>
            </w:r>
            <w:r w:rsidR="001A6EE0" w:rsidRPr="00411C7E">
              <w:t xml:space="preserve"> </w:t>
            </w:r>
            <w:r w:rsidR="00D31217">
              <w:t xml:space="preserve">ergänzend </w:t>
            </w:r>
            <w:r w:rsidR="001A6EE0" w:rsidRPr="00411C7E">
              <w:t xml:space="preserve">Zuordnung zu einer Schutzstufe </w:t>
            </w:r>
            <w:r w:rsidR="001A6EE0">
              <w:t>vornehmen</w:t>
            </w:r>
          </w:p>
        </w:tc>
      </w:tr>
      <w:tr w:rsidR="00FB079F" w14:paraId="4A1EC3AF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  <w:vAlign w:val="center"/>
          </w:tcPr>
          <w:p w14:paraId="5F23AF2E" w14:textId="77777777" w:rsidR="00FB079F" w:rsidRPr="00E26395" w:rsidRDefault="00FB079F" w:rsidP="00411C7E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77046A33" w14:textId="77777777" w:rsidR="00FB079F" w:rsidRPr="00E26395" w:rsidRDefault="00F12127" w:rsidP="00C82C24">
            <w:pPr>
              <w:pStyle w:val="berschrift1"/>
            </w:pPr>
            <w:r w:rsidRPr="00E26395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7F6B1558" w14:textId="77777777" w:rsidR="00FB079F" w:rsidRPr="00E26395" w:rsidRDefault="00FB079F" w:rsidP="00C82C24">
            <w:pPr>
              <w:pStyle w:val="berschrift1"/>
            </w:pPr>
          </w:p>
        </w:tc>
      </w:tr>
      <w:tr w:rsidR="008168DD" w14:paraId="2BFB7B25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FFFFFF" w:themeColor="background1"/>
            </w:tcBorders>
            <w:vAlign w:val="center"/>
          </w:tcPr>
          <w:p w14:paraId="1945EE03" w14:textId="4CEA8F1E" w:rsidR="008168DD" w:rsidRPr="00510E5C" w:rsidRDefault="008168DD" w:rsidP="00812343">
            <w:pPr>
              <w:spacing w:after="20"/>
              <w:jc w:val="center"/>
              <w:rPr>
                <w:rStyle w:val="Hyperlink"/>
              </w:rPr>
            </w:pPr>
            <w:hyperlink r:id="rId10" w:tooltip="Link zu den Gebotszeichen gemäß ASR A1.3 im Kompendium Arbeitsschutz der BGHW" w:history="1">
              <w:r w:rsidRPr="00C25D55">
                <w:rPr>
                  <w:rStyle w:val="Hyperlink"/>
                </w:rPr>
                <w:t>Gebotszeichen</w:t>
              </w:r>
              <w:r w:rsidRPr="00510E5C">
                <w:rPr>
                  <w:rStyle w:val="Hyperlink"/>
                </w:rPr>
                <w:t>*</w:t>
              </w:r>
            </w:hyperlink>
            <w:r w:rsidRPr="00411C7E">
              <w:rPr>
                <w:rStyle w:val="Hyperlink"/>
              </w:rPr>
              <w:fldChar w:fldCharType="begin"/>
            </w:r>
            <w:r w:rsidRPr="00510E5C">
              <w:rPr>
                <w:rStyle w:val="Hyperlink"/>
              </w:rPr>
              <w:instrText xml:space="preserve"> HYPERLINK "https://kompendium.bghw.de/bghw/xhtml/document.jsf?alias=bghw_symbib_" </w:instrText>
            </w:r>
            <w:r w:rsidRPr="00411C7E">
              <w:rPr>
                <w:rStyle w:val="Hyperlink"/>
              </w:rPr>
            </w:r>
            <w:r w:rsidRPr="00411C7E">
              <w:rPr>
                <w:rStyle w:val="Hyperlink"/>
              </w:rPr>
              <w:fldChar w:fldCharType="separate"/>
            </w:r>
          </w:p>
          <w:p w14:paraId="2AC8AFF9" w14:textId="77777777" w:rsidR="008168DD" w:rsidRPr="00411C7E" w:rsidRDefault="008168DD" w:rsidP="00812343">
            <w:pPr>
              <w:spacing w:after="20"/>
              <w:jc w:val="center"/>
              <w:rPr>
                <w:rStyle w:val="Hyperlink"/>
                <w:rFonts w:cs="Arial"/>
                <w:i w:val="0"/>
                <w:iCs/>
                <w:szCs w:val="18"/>
              </w:rPr>
            </w:pPr>
            <w:r w:rsidRPr="00411C7E">
              <w:rPr>
                <w:rFonts w:ascii="Calibri" w:eastAsia="Calibri" w:hAnsi="Calibri"/>
                <w:noProof/>
                <w:color w:val="004994"/>
                <w:sz w:val="22"/>
                <w:szCs w:val="22"/>
                <w:lang w:eastAsia="de-DE"/>
              </w:rPr>
              <w:drawing>
                <wp:inline distT="0" distB="0" distL="0" distR="0" wp14:anchorId="1E1A419B" wp14:editId="70538DDB">
                  <wp:extent cx="276225" cy="276225"/>
                  <wp:effectExtent l="0" t="0" r="9525" b="9525"/>
                  <wp:docPr id="26" name="Bild 1" descr="Gebotszeichen &quot;Allgemeines Gebotszeichen&quot;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https://kompendium.bghw.de/bghw/docs/BGHWVUR4-Documents/symbib/symbole/gif/gebo_m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3B6DA" w14:textId="7A684106" w:rsidR="008168DD" w:rsidRPr="00510E5C" w:rsidRDefault="008168DD" w:rsidP="00812343">
            <w:pPr>
              <w:spacing w:after="20"/>
              <w:jc w:val="center"/>
              <w:rPr>
                <w:rStyle w:val="Hyperlink"/>
              </w:rPr>
            </w:pPr>
            <w:r w:rsidRPr="00C25D55">
              <w:rPr>
                <w:rStyle w:val="Hyperlink"/>
              </w:rPr>
              <w:fldChar w:fldCharType="begin"/>
            </w:r>
            <w:r w:rsidR="00C1413D" w:rsidRPr="00C25D55">
              <w:rPr>
                <w:rStyle w:val="Hyperlink"/>
              </w:rPr>
              <w:instrText>HYPERLINK "https://kompendium.bghw.de/?alias=bghw_symbib_sy0_0_GR1_" \o "Link zu den Verbotszeichen gemäß ASR A1.3 im Kompendium Arbeitsschutz der BGHW"</w:instrText>
            </w:r>
            <w:r w:rsidRPr="00C25D55">
              <w:rPr>
                <w:rStyle w:val="Hyperlink"/>
              </w:rPr>
            </w:r>
            <w:r w:rsidRPr="00C25D55">
              <w:rPr>
                <w:rStyle w:val="Hyperlink"/>
              </w:rPr>
              <w:fldChar w:fldCharType="separate"/>
            </w:r>
            <w:r w:rsidRPr="00C25D55">
              <w:rPr>
                <w:rStyle w:val="Hyperlink"/>
              </w:rPr>
              <w:t>Ver</w:t>
            </w:r>
            <w:r w:rsidRPr="00C25D55">
              <w:rPr>
                <w:rStyle w:val="Hyperlink"/>
              </w:rPr>
              <w:t>b</w:t>
            </w:r>
            <w:r w:rsidRPr="00C25D55">
              <w:rPr>
                <w:rStyle w:val="Hyperlink"/>
              </w:rPr>
              <w:t>otszeichen</w:t>
            </w:r>
            <w:r w:rsidRPr="00510E5C">
              <w:rPr>
                <w:rStyle w:val="Hyperlink"/>
              </w:rPr>
              <w:t>*</w:t>
            </w:r>
          </w:p>
          <w:p w14:paraId="3F5AA967" w14:textId="77777777" w:rsidR="008168DD" w:rsidRPr="00411C7E" w:rsidRDefault="008168DD" w:rsidP="00812343">
            <w:pPr>
              <w:spacing w:after="20"/>
              <w:jc w:val="center"/>
              <w:rPr>
                <w:rFonts w:cs="Arial"/>
                <w:i/>
                <w:iCs/>
                <w:color w:val="004994"/>
                <w:sz w:val="18"/>
                <w:szCs w:val="18"/>
              </w:rPr>
            </w:pPr>
            <w:r w:rsidRPr="00510E5C">
              <w:rPr>
                <w:rStyle w:val="Hyperlink"/>
              </w:rPr>
              <w:fldChar w:fldCharType="end"/>
            </w:r>
            <w:r w:rsidRPr="00411C7E">
              <w:rPr>
                <w:rFonts w:cs="Arial"/>
                <w:i/>
                <w:iCs/>
                <w:color w:val="004994"/>
                <w:sz w:val="18"/>
                <w:szCs w:val="18"/>
              </w:rPr>
              <w:fldChar w:fldCharType="end"/>
            </w:r>
            <w:r w:rsidRPr="00411C7E">
              <w:rPr>
                <w:rFonts w:ascii="Calibri" w:eastAsia="Calibri" w:hAnsi="Calibri"/>
                <w:noProof/>
                <w:color w:val="004994"/>
                <w:sz w:val="22"/>
                <w:szCs w:val="22"/>
                <w:lang w:eastAsia="de-DE"/>
              </w:rPr>
              <w:drawing>
                <wp:inline distT="0" distB="0" distL="0" distR="0" wp14:anchorId="5075ED63" wp14:editId="5720DF48">
                  <wp:extent cx="257175" cy="257175"/>
                  <wp:effectExtent l="0" t="0" r="9525" b="9525"/>
                  <wp:docPr id="27" name="Grafik 10" descr="Verbotszeichen &quot;Allgemeines Verbotszeichen&quot; (P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 descr="https://kompendium.bghw.de/bghw/docs/BGHWVUR4-Documents/symbib/symbole/gif/verb_p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21B6F4" w14:textId="77777777" w:rsidR="008168DD" w:rsidRDefault="008168DD" w:rsidP="00411C7E">
            <w:pPr>
              <w:spacing w:after="20"/>
              <w:jc w:val="center"/>
            </w:pPr>
            <w:r w:rsidRPr="00E57C92">
              <w:rPr>
                <w:rFonts w:eastAsia="Calibri" w:cs="Arial"/>
                <w:i/>
                <w:sz w:val="18"/>
                <w:szCs w:val="18"/>
              </w:rPr>
              <w:t>*ggf. Zusatzzeichen</w:t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AFCA0B"/>
            </w:tcBorders>
          </w:tcPr>
          <w:p w14:paraId="6C745CA5" w14:textId="77777777" w:rsidR="008168DD" w:rsidRDefault="008168DD" w:rsidP="00F62515">
            <w:pPr>
              <w:pStyle w:val="Listenebene1"/>
            </w:pPr>
            <w:r>
              <w:t xml:space="preserve">Schutzmaßnahmen und Verhaltensregeln, </w:t>
            </w:r>
            <w:r w:rsidR="005506A6">
              <w:t>die</w:t>
            </w:r>
            <w:r>
              <w:t xml:space="preserve"> die Beschäftigten am Arbeitsplatz durchzuführen oder einzuhalten haben, so konkret wie möglich beschre</w:t>
            </w:r>
            <w:r w:rsidR="001A6EE0">
              <w:t>i</w:t>
            </w:r>
            <w:r>
              <w:t>ben</w:t>
            </w:r>
            <w:r w:rsidR="001A6EE0">
              <w:t xml:space="preserve"> – in der </w:t>
            </w:r>
            <w:r>
              <w:t xml:space="preserve">Reihenfolge technische, organisatorische, hygienische, persönliche Schutzmaßnahmen. </w:t>
            </w:r>
            <w:r w:rsidR="001A6EE0">
              <w:t xml:space="preserve">Zu nennen sind </w:t>
            </w:r>
            <w:r>
              <w:t>insbesondere:</w:t>
            </w:r>
          </w:p>
          <w:p w14:paraId="47131403" w14:textId="77777777" w:rsidR="008168DD" w:rsidRDefault="00497825" w:rsidP="008168DD">
            <w:pPr>
              <w:pStyle w:val="Listenebene2"/>
            </w:pPr>
            <w:r>
              <w:t>i</w:t>
            </w:r>
            <w:r w:rsidR="008168DD">
              <w:t>nnerbetriebliche Hygienevorgaben</w:t>
            </w:r>
          </w:p>
          <w:p w14:paraId="41F38A7C" w14:textId="77777777" w:rsidR="008168DD" w:rsidRDefault="008168DD" w:rsidP="008168DD">
            <w:pPr>
              <w:pStyle w:val="Listenebene2"/>
            </w:pPr>
            <w:r>
              <w:t>Informationen über Maßnahmen, die zur Verhütung einer Exposition zu ergreifen sind</w:t>
            </w:r>
          </w:p>
          <w:p w14:paraId="37149741" w14:textId="77777777" w:rsidR="008168DD" w:rsidRDefault="008168DD" w:rsidP="001A6EE0">
            <w:pPr>
              <w:pStyle w:val="Listenebene2"/>
            </w:pPr>
            <w:r>
              <w:t xml:space="preserve">Informationen zum Tragen, Verwenden und Ablegen </w:t>
            </w:r>
            <w:r w:rsidR="001A6EE0">
              <w:t>P</w:t>
            </w:r>
            <w:r>
              <w:t>ersönlicher Schutzausrüstung einschließlich Schutzkleidung</w:t>
            </w:r>
            <w:r w:rsidR="001A6EE0">
              <w:t xml:space="preserve"> – k</w:t>
            </w:r>
            <w:r>
              <w:t>onkrete Angaben z. B. zu Schutzhandschuhen, Desinfektionsmitteln o. ä. erleichtern den Beschäftigten die richtige Auswahl, wenn verschiedene Produkte bereitgestellt werden</w:t>
            </w:r>
          </w:p>
        </w:tc>
      </w:tr>
      <w:tr w:rsidR="00F12127" w14:paraId="1D0B0235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  <w:vAlign w:val="center"/>
          </w:tcPr>
          <w:p w14:paraId="69B00ECF" w14:textId="77777777" w:rsidR="00FB079F" w:rsidRPr="00E26395" w:rsidRDefault="00FB079F" w:rsidP="00411C7E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22350945" w14:textId="77777777" w:rsidR="00FB079F" w:rsidRPr="00E26395" w:rsidRDefault="00F12127" w:rsidP="00C82C24">
            <w:pPr>
              <w:pStyle w:val="berschrift1"/>
            </w:pPr>
            <w:r w:rsidRPr="00E26395">
              <w:t>Verhalten bei Störungen und</w:t>
            </w:r>
            <w:r w:rsidR="00C41755" w:rsidRPr="00E26395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67B16F62" w14:textId="77777777" w:rsidR="00FB079F" w:rsidRPr="00E26395" w:rsidRDefault="00FB079F" w:rsidP="00C82C24">
            <w:pPr>
              <w:pStyle w:val="berschrift1"/>
            </w:pPr>
          </w:p>
        </w:tc>
      </w:tr>
      <w:tr w:rsidR="009D7F7C" w14:paraId="250C2999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FFFFFF" w:themeColor="background1"/>
            </w:tcBorders>
          </w:tcPr>
          <w:p w14:paraId="4A606B8B" w14:textId="7C34D628" w:rsidR="009D7F7C" w:rsidRPr="00510E5C" w:rsidRDefault="009D7F7C" w:rsidP="00812343">
            <w:pPr>
              <w:spacing w:after="20"/>
              <w:jc w:val="center"/>
              <w:rPr>
                <w:rStyle w:val="Hyperlink"/>
              </w:rPr>
            </w:pPr>
            <w:hyperlink r:id="rId13" w:tooltip="Link zu den Gebotszeichen gemäß ASR A1.3 im Kompendium Arbeitsschutz der BGHW" w:history="1">
              <w:r w:rsidRPr="00C25D55">
                <w:rPr>
                  <w:rStyle w:val="Hyperlink"/>
                </w:rPr>
                <w:t>Gebotszeichen</w:t>
              </w:r>
              <w:r w:rsidRPr="00510E5C">
                <w:rPr>
                  <w:rStyle w:val="Hyperlink"/>
                </w:rPr>
                <w:t>*</w:t>
              </w:r>
            </w:hyperlink>
            <w:r w:rsidRPr="00411C7E">
              <w:rPr>
                <w:rStyle w:val="Hyperlink"/>
              </w:rPr>
              <w:fldChar w:fldCharType="begin"/>
            </w:r>
            <w:r w:rsidRPr="00510E5C">
              <w:rPr>
                <w:rStyle w:val="Hyperlink"/>
              </w:rPr>
              <w:instrText xml:space="preserve"> HYPERLINK "https://kompendium.bghw.de/bghw/xhtml/document.jsf?alias=bghw_symbib_" </w:instrText>
            </w:r>
            <w:r w:rsidRPr="00411C7E">
              <w:rPr>
                <w:rStyle w:val="Hyperlink"/>
              </w:rPr>
            </w:r>
            <w:r w:rsidRPr="00411C7E">
              <w:rPr>
                <w:rStyle w:val="Hyperlink"/>
              </w:rPr>
              <w:fldChar w:fldCharType="separate"/>
            </w:r>
          </w:p>
          <w:p w14:paraId="700A877D" w14:textId="77777777" w:rsidR="009D7F7C" w:rsidRPr="00411C7E" w:rsidRDefault="009D7F7C" w:rsidP="00812343">
            <w:pPr>
              <w:spacing w:after="20"/>
              <w:jc w:val="center"/>
              <w:rPr>
                <w:rStyle w:val="Hyperlink"/>
                <w:rFonts w:cs="Arial"/>
                <w:i w:val="0"/>
                <w:iCs/>
                <w:szCs w:val="18"/>
              </w:rPr>
            </w:pPr>
            <w:r w:rsidRPr="00411C7E">
              <w:rPr>
                <w:rFonts w:ascii="Calibri" w:eastAsia="Calibri" w:hAnsi="Calibri"/>
                <w:noProof/>
                <w:color w:val="004994"/>
                <w:sz w:val="18"/>
                <w:szCs w:val="18"/>
                <w:lang w:eastAsia="de-DE"/>
              </w:rPr>
              <w:drawing>
                <wp:inline distT="0" distB="0" distL="0" distR="0" wp14:anchorId="2322B1B6" wp14:editId="050863D2">
                  <wp:extent cx="276225" cy="276225"/>
                  <wp:effectExtent l="0" t="0" r="9525" b="9525"/>
                  <wp:docPr id="28" name="Bild 1" descr="Gebotszeichen &quot;Allgemeines Gebotszeichen&quot;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https://kompendium.bghw.de/bghw/docs/BGHWVUR4-Documents/symbib/symbole/gif/gebo_m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CB800" w14:textId="348F74CA" w:rsidR="009D7F7C" w:rsidRPr="00510E5C" w:rsidRDefault="009D7F7C" w:rsidP="00812343">
            <w:pPr>
              <w:spacing w:after="20"/>
              <w:jc w:val="center"/>
              <w:rPr>
                <w:rStyle w:val="Hyperlink"/>
              </w:rPr>
            </w:pPr>
            <w:r w:rsidRPr="00C25D55">
              <w:rPr>
                <w:rStyle w:val="Hyperlink"/>
              </w:rPr>
              <w:fldChar w:fldCharType="begin"/>
            </w:r>
            <w:r w:rsidR="00C1413D" w:rsidRPr="00C25D55">
              <w:rPr>
                <w:rStyle w:val="Hyperlink"/>
              </w:rPr>
              <w:instrText>HYPERLINK "https://kompendium.bghw.de/?alias=bghw_symbib_sy0_0_GR1_" \o "Link zu den Verbotszeichen gemäß ASR A1.3 im Kompendium Arbeitsschutz der BGHW"</w:instrText>
            </w:r>
            <w:r w:rsidRPr="00C25D55">
              <w:rPr>
                <w:rStyle w:val="Hyperlink"/>
              </w:rPr>
            </w:r>
            <w:r w:rsidRPr="00C25D55">
              <w:rPr>
                <w:rStyle w:val="Hyperlink"/>
              </w:rPr>
              <w:fldChar w:fldCharType="separate"/>
            </w:r>
            <w:r w:rsidRPr="00C25D55">
              <w:rPr>
                <w:rStyle w:val="Hyperlink"/>
              </w:rPr>
              <w:t>Verbotszeichen</w:t>
            </w:r>
            <w:r w:rsidRPr="00510E5C">
              <w:rPr>
                <w:rStyle w:val="Hyperlink"/>
              </w:rPr>
              <w:t>*</w:t>
            </w:r>
          </w:p>
          <w:p w14:paraId="202BBFEE" w14:textId="77777777" w:rsidR="009D7F7C" w:rsidRPr="00411C7E" w:rsidRDefault="009D7F7C" w:rsidP="00812343">
            <w:pPr>
              <w:spacing w:after="20"/>
              <w:jc w:val="center"/>
              <w:rPr>
                <w:rFonts w:cs="Arial"/>
                <w:i/>
                <w:iCs/>
                <w:color w:val="004994"/>
                <w:sz w:val="18"/>
                <w:szCs w:val="18"/>
              </w:rPr>
            </w:pPr>
            <w:r w:rsidRPr="00510E5C">
              <w:rPr>
                <w:rStyle w:val="Hyperlink"/>
              </w:rPr>
              <w:fldChar w:fldCharType="end"/>
            </w:r>
            <w:r w:rsidRPr="00411C7E">
              <w:rPr>
                <w:rFonts w:cs="Arial"/>
                <w:i/>
                <w:iCs/>
                <w:color w:val="004994"/>
                <w:sz w:val="18"/>
                <w:szCs w:val="18"/>
              </w:rPr>
              <w:fldChar w:fldCharType="end"/>
            </w:r>
            <w:r w:rsidRPr="00411C7E">
              <w:rPr>
                <w:rFonts w:ascii="Calibri" w:eastAsia="Calibri" w:hAnsi="Calibri"/>
                <w:noProof/>
                <w:color w:val="004994"/>
                <w:sz w:val="18"/>
                <w:szCs w:val="18"/>
                <w:lang w:eastAsia="de-DE"/>
              </w:rPr>
              <w:drawing>
                <wp:inline distT="0" distB="0" distL="0" distR="0" wp14:anchorId="2DEA1474" wp14:editId="081F8394">
                  <wp:extent cx="257175" cy="257175"/>
                  <wp:effectExtent l="0" t="0" r="9525" b="9525"/>
                  <wp:docPr id="29" name="Grafik 11" descr="Verbotszeichen &quot;Allgemeines Verbotszeichen&quot; (P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 descr="https://kompendium.bghw.de/bghw/docs/BGHWVUR4-Documents/symbib/symbole/gif/verb_p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6EBE77" w14:textId="77777777" w:rsidR="009D7F7C" w:rsidRPr="0057075B" w:rsidRDefault="009D7F7C" w:rsidP="00411C7E">
            <w:pPr>
              <w:spacing w:before="6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E57C92">
              <w:rPr>
                <w:rFonts w:eastAsia="Calibri" w:cs="Arial"/>
                <w:i/>
                <w:sz w:val="18"/>
                <w:szCs w:val="18"/>
              </w:rPr>
              <w:t>*ggf. Zusatzzeichen</w:t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AFCA0B"/>
            </w:tcBorders>
          </w:tcPr>
          <w:p w14:paraId="388DAD21" w14:textId="77777777" w:rsidR="009D7F7C" w:rsidRDefault="00497825" w:rsidP="00F62515">
            <w:pPr>
              <w:pStyle w:val="Listenebene1"/>
            </w:pPr>
            <w:r>
              <w:t>b</w:t>
            </w:r>
            <w:r w:rsidR="009D7F7C">
              <w:t>etriebliche</w:t>
            </w:r>
            <w:r w:rsidR="001A6EE0">
              <w:t>s</w:t>
            </w:r>
            <w:r w:rsidR="009D7F7C">
              <w:t xml:space="preserve"> Vorgehen bei Betriebsstörungen</w:t>
            </w:r>
            <w:r w:rsidR="007A58C9">
              <w:t xml:space="preserve"> auflisten</w:t>
            </w:r>
            <w:r w:rsidR="009D7F7C">
              <w:t xml:space="preserve">, wie </w:t>
            </w:r>
            <w:r w:rsidR="007A58C9">
              <w:t xml:space="preserve">z. B. bei </w:t>
            </w:r>
            <w:r w:rsidR="009D7F7C">
              <w:t>einer versehentlichen Kontamination der Arbeitskleidung mit Biostoffen</w:t>
            </w:r>
          </w:p>
          <w:p w14:paraId="2E3792EC" w14:textId="77777777" w:rsidR="009D7F7C" w:rsidRDefault="001A6EE0" w:rsidP="00F62515">
            <w:pPr>
              <w:pStyle w:val="Listenebene1"/>
            </w:pPr>
            <w:r>
              <w:t>Hinweis aufnehmen, dass die Führungskraft (Name) zu informieren ist (Telefonnummer)</w:t>
            </w:r>
          </w:p>
        </w:tc>
      </w:tr>
      <w:tr w:rsidR="009D7F7C" w14:paraId="488AC6A1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  <w:vAlign w:val="center"/>
          </w:tcPr>
          <w:p w14:paraId="5EA49F75" w14:textId="77777777" w:rsidR="009D7F7C" w:rsidRPr="00E26395" w:rsidRDefault="009D7F7C" w:rsidP="00411C7E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6C863347" w14:textId="77777777" w:rsidR="009D7F7C" w:rsidRPr="00E26395" w:rsidRDefault="009D7F7C" w:rsidP="009D7F7C">
            <w:pPr>
              <w:pStyle w:val="berschrift1"/>
            </w:pPr>
            <w:r w:rsidRPr="00E26395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single" w:sz="36" w:space="0" w:color="AFCA0B"/>
              <w:bottom w:val="nil"/>
              <w:right w:val="single" w:sz="36" w:space="0" w:color="AFCA0B"/>
            </w:tcBorders>
            <w:shd w:val="clear" w:color="auto" w:fill="EEFAA4"/>
            <w:vAlign w:val="center"/>
          </w:tcPr>
          <w:p w14:paraId="736A1A95" w14:textId="77777777" w:rsidR="009D7F7C" w:rsidRDefault="009D7F7C" w:rsidP="009D7F7C">
            <w:r>
              <w:t>Notruf: 112</w:t>
            </w:r>
          </w:p>
        </w:tc>
      </w:tr>
      <w:tr w:rsidR="009D7F7C" w14:paraId="12D18D80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FFFFFF" w:themeColor="background1"/>
            </w:tcBorders>
            <w:vAlign w:val="center"/>
          </w:tcPr>
          <w:p w14:paraId="77A915D7" w14:textId="6632BC5F" w:rsidR="00510E5C" w:rsidRPr="00C25D55" w:rsidRDefault="00685073" w:rsidP="00812343">
            <w:pPr>
              <w:spacing w:after="20"/>
              <w:jc w:val="center"/>
              <w:rPr>
                <w:rStyle w:val="Hyperlink"/>
              </w:rPr>
            </w:pPr>
            <w:hyperlink r:id="rId14" w:tooltip="Link zu den Rettungszeichen gemäß ASR A1.3 im Kompendium Arbeitsschutz der BGHW" w:history="1">
              <w:r w:rsidRPr="00C25D55">
                <w:rPr>
                  <w:rStyle w:val="Hyperlink"/>
                </w:rPr>
                <w:t>Rettung</w:t>
              </w:r>
              <w:r w:rsidRPr="00C25D55">
                <w:rPr>
                  <w:rStyle w:val="Hyperlink"/>
                </w:rPr>
                <w:t>s</w:t>
              </w:r>
              <w:r w:rsidRPr="00C25D55">
                <w:rPr>
                  <w:rStyle w:val="Hyperlink"/>
                </w:rPr>
                <w:t>zeichen</w:t>
              </w:r>
            </w:hyperlink>
          </w:p>
          <w:p w14:paraId="0EF2FC1D" w14:textId="62A539D9" w:rsidR="00C1413D" w:rsidRDefault="006E1152" w:rsidP="006850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078BA6" wp14:editId="088532B4">
                  <wp:extent cx="611505" cy="611505"/>
                  <wp:effectExtent l="0" t="0" r="0" b="0"/>
                  <wp:docPr id="2" name="Grafik 2" descr="Rettungszeichen &quot;Erste Hilfe&quot;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Rettungszeichen „Erste Hilfe“ (E003) gemäß ASR A1.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AFCA0B"/>
            </w:tcBorders>
          </w:tcPr>
          <w:p w14:paraId="1ABE8E0C" w14:textId="77777777" w:rsidR="00497825" w:rsidRDefault="001A6EE0" w:rsidP="00F62515">
            <w:pPr>
              <w:pStyle w:val="Listenebene1"/>
            </w:pPr>
            <w:r>
              <w:t>unter der Aufforderung „</w:t>
            </w:r>
            <w:r w:rsidR="00497825">
              <w:t>Erste Hilfe leisten</w:t>
            </w:r>
            <w:r w:rsidR="00D572CF">
              <w:t>“</w:t>
            </w:r>
            <w:r w:rsidR="00497825">
              <w:t>:</w:t>
            </w:r>
          </w:p>
          <w:p w14:paraId="1B5C2DF7" w14:textId="77777777" w:rsidR="009D7F7C" w:rsidRDefault="009D7F7C" w:rsidP="00497825">
            <w:pPr>
              <w:pStyle w:val="Listenebene2"/>
            </w:pPr>
            <w:r>
              <w:t>Erste</w:t>
            </w:r>
            <w:r w:rsidR="008F60F8">
              <w:t>-</w:t>
            </w:r>
            <w:r>
              <w:t>Hilfe-Einrichtungen</w:t>
            </w:r>
            <w:r w:rsidR="00D572CF">
              <w:t xml:space="preserve"> a</w:t>
            </w:r>
            <w:r w:rsidR="00E57C92">
              <w:t>n</w:t>
            </w:r>
            <w:r w:rsidR="00D572CF">
              <w:t>geben</w:t>
            </w:r>
            <w:r w:rsidR="00360665">
              <w:t xml:space="preserve"> (</w:t>
            </w:r>
            <w:r w:rsidR="00D572CF">
              <w:t>Was ist wo?</w:t>
            </w:r>
            <w:r w:rsidR="00360665">
              <w:t>)</w:t>
            </w:r>
          </w:p>
          <w:p w14:paraId="3A5C1AC6" w14:textId="77777777" w:rsidR="009D7F7C" w:rsidRDefault="009D7F7C" w:rsidP="00497825">
            <w:pPr>
              <w:pStyle w:val="Listenebene2"/>
            </w:pPr>
            <w:r>
              <w:t>Ersthelfer</w:t>
            </w:r>
            <w:r w:rsidR="00AD19FC">
              <w:t>innen und Ersthelfer</w:t>
            </w:r>
            <w:r w:rsidR="00D572CF">
              <w:t xml:space="preserve"> nennen</w:t>
            </w:r>
            <w:r w:rsidR="00360665">
              <w:t xml:space="preserve"> (Namen, Telefonnummern)</w:t>
            </w:r>
          </w:p>
          <w:p w14:paraId="7A7BE0B0" w14:textId="77777777" w:rsidR="009D7F7C" w:rsidRDefault="00D572CF" w:rsidP="00497825">
            <w:pPr>
              <w:pStyle w:val="Listenebene2"/>
            </w:pPr>
            <w:r>
              <w:t>ggf. weitere Notrufnummern angeben</w:t>
            </w:r>
          </w:p>
          <w:p w14:paraId="7D67BA11" w14:textId="77777777" w:rsidR="00360665" w:rsidRDefault="009D7F7C" w:rsidP="00360665">
            <w:pPr>
              <w:pStyle w:val="Listenebene2"/>
            </w:pPr>
            <w:r>
              <w:t xml:space="preserve">besondere </w:t>
            </w:r>
            <w:r w:rsidR="00D31217">
              <w:t xml:space="preserve">betriebliche </w:t>
            </w:r>
            <w:r>
              <w:t>Erste</w:t>
            </w:r>
            <w:r w:rsidR="008F60F8">
              <w:t>-</w:t>
            </w:r>
            <w:r>
              <w:t>Hilfe-Maßnahmen</w:t>
            </w:r>
            <w:r w:rsidR="00D31217">
              <w:t xml:space="preserve"> auflisten, </w:t>
            </w:r>
            <w:r w:rsidR="007A58C9">
              <w:t>z. B.</w:t>
            </w:r>
            <w:r w:rsidR="00497825">
              <w:t>:</w:t>
            </w:r>
            <w:r w:rsidR="00360665">
              <w:t xml:space="preserve"> </w:t>
            </w:r>
            <w:r w:rsidR="00D31217">
              <w:t xml:space="preserve">bei Verletzungen an Kanülen </w:t>
            </w:r>
            <w:r w:rsidR="007A58C9">
              <w:br w:type="textWrapping" w:clear="all"/>
            </w:r>
            <w:r w:rsidR="00D31217">
              <w:t xml:space="preserve">oder Bissverletzungen im Zoo- und Viehhandel </w:t>
            </w:r>
            <w:r w:rsidR="00360665">
              <w:t xml:space="preserve">Maßnahmen zur Postexpositionsprophylaxe </w:t>
            </w:r>
            <w:r w:rsidR="00D572CF">
              <w:t>ergreifen</w:t>
            </w:r>
            <w:r w:rsidR="00360665">
              <w:t>:</w:t>
            </w:r>
          </w:p>
          <w:p w14:paraId="0F5A2161" w14:textId="77777777" w:rsidR="00360665" w:rsidRDefault="00360665" w:rsidP="00360665">
            <w:pPr>
              <w:pStyle w:val="Listenebene3"/>
            </w:pPr>
            <w:r>
              <w:t>bei Stich- oder Schnittverletzungen</w:t>
            </w:r>
            <w:r w:rsidR="00D31217">
              <w:t>:</w:t>
            </w:r>
            <w:r>
              <w:t xml:space="preserve"> </w:t>
            </w:r>
            <w:r w:rsidR="007A58C9">
              <w:t xml:space="preserve">für 1-2 Minuten </w:t>
            </w:r>
            <w:r>
              <w:t>Blutung aus der Wunde anregen, dann desinfizieren und verbinden/abdecken; ggf. Ärztin oder Arzt</w:t>
            </w:r>
            <w:r w:rsidR="00D572CF">
              <w:t xml:space="preserve"> aufsuchen</w:t>
            </w:r>
          </w:p>
          <w:p w14:paraId="0FBF3BD1" w14:textId="77777777" w:rsidR="009D7F7C" w:rsidRDefault="00360665" w:rsidP="00360665">
            <w:pPr>
              <w:pStyle w:val="Listenebene3"/>
            </w:pPr>
            <w:r>
              <w:t>bei Verletzungen durch Spritzen-Kanülen</w:t>
            </w:r>
            <w:r w:rsidR="00D31217">
              <w:t>:</w:t>
            </w:r>
            <w:r>
              <w:t xml:space="preserve"> nach den Sofortmaßnahmen </w:t>
            </w:r>
            <w:r w:rsidR="00D31217">
              <w:t xml:space="preserve">auf jeden Fall </w:t>
            </w:r>
            <w:r>
              <w:t>in ärztliche Behandlung begeben</w:t>
            </w:r>
          </w:p>
          <w:p w14:paraId="36666F88" w14:textId="77777777" w:rsidR="009D7F7C" w:rsidRDefault="00D572CF" w:rsidP="00360665">
            <w:pPr>
              <w:pStyle w:val="Listenebene1"/>
            </w:pPr>
            <w:r>
              <w:t>Hinweis aufnehmen, dass Erste-Hilfe-Leistungen zu dokumentieren sind</w:t>
            </w:r>
          </w:p>
        </w:tc>
      </w:tr>
      <w:tr w:rsidR="00E26395" w:rsidRPr="00E26395" w14:paraId="5ABC5F71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0C2E19DB" w14:textId="77777777" w:rsidR="009D7F7C" w:rsidRPr="00E26395" w:rsidRDefault="009D7F7C" w:rsidP="009D7F7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AFCA0B"/>
              <w:bottom w:val="nil"/>
              <w:right w:val="single" w:sz="4" w:space="0" w:color="AFCA0B"/>
            </w:tcBorders>
            <w:shd w:val="clear" w:color="auto" w:fill="AFCA0B"/>
          </w:tcPr>
          <w:p w14:paraId="5FA29C6E" w14:textId="77777777" w:rsidR="009D7F7C" w:rsidRPr="00E26395" w:rsidRDefault="009D7F7C" w:rsidP="009D7F7C">
            <w:pPr>
              <w:pStyle w:val="berschrift1"/>
            </w:pPr>
            <w:r w:rsidRPr="00E26395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AFCA0B"/>
              <w:bottom w:val="nil"/>
              <w:right w:val="single" w:sz="36" w:space="0" w:color="AFCA0B"/>
            </w:tcBorders>
            <w:shd w:val="clear" w:color="auto" w:fill="AFCA0B"/>
          </w:tcPr>
          <w:p w14:paraId="7C5818CD" w14:textId="77777777" w:rsidR="009D7F7C" w:rsidRPr="00E26395" w:rsidRDefault="009D7F7C" w:rsidP="009D7F7C">
            <w:pPr>
              <w:pStyle w:val="berschrift1"/>
            </w:pPr>
          </w:p>
        </w:tc>
      </w:tr>
      <w:tr w:rsidR="008822F8" w14:paraId="462FF23C" w14:textId="77777777" w:rsidTr="00E26395">
        <w:tc>
          <w:tcPr>
            <w:tcW w:w="1326" w:type="dxa"/>
            <w:tcBorders>
              <w:top w:val="nil"/>
              <w:left w:val="single" w:sz="36" w:space="0" w:color="AFCA0B"/>
              <w:bottom w:val="single" w:sz="36" w:space="0" w:color="AFCA0B"/>
              <w:right w:val="single" w:sz="4" w:space="0" w:color="FFFFFF" w:themeColor="background1"/>
            </w:tcBorders>
          </w:tcPr>
          <w:p w14:paraId="07A64C58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AFCA0B"/>
              <w:right w:val="single" w:sz="36" w:space="0" w:color="AFCA0B"/>
            </w:tcBorders>
          </w:tcPr>
          <w:p w14:paraId="11CB7ABA" w14:textId="77777777" w:rsidR="008822F8" w:rsidRPr="008822F8" w:rsidRDefault="00497825" w:rsidP="00F62515">
            <w:pPr>
              <w:pStyle w:val="Listenebene1"/>
            </w:pPr>
            <w:r>
              <w:t xml:space="preserve">Hinweise </w:t>
            </w:r>
            <w:r w:rsidR="00D31217">
              <w:t xml:space="preserve">aufnehmen </w:t>
            </w:r>
            <w:r>
              <w:t>zur s</w:t>
            </w:r>
            <w:r w:rsidR="008822F8" w:rsidRPr="008822F8">
              <w:t>achgerechte</w:t>
            </w:r>
            <w:r>
              <w:t>n</w:t>
            </w:r>
            <w:r w:rsidR="008822F8" w:rsidRPr="008822F8">
              <w:t xml:space="preserve"> Inaktivierung oder Entsorgung von Biostoffen und kontaminierten Gegenständen, Materialien </w:t>
            </w:r>
            <w:r w:rsidR="00D572CF">
              <w:t>und</w:t>
            </w:r>
            <w:r w:rsidR="008822F8" w:rsidRPr="008822F8">
              <w:t xml:space="preserve"> Arbeitsmitteln</w:t>
            </w:r>
          </w:p>
        </w:tc>
      </w:tr>
    </w:tbl>
    <w:p w14:paraId="386CB845" w14:textId="77777777" w:rsidR="000D5C63" w:rsidRDefault="00C82C24" w:rsidP="00357BA4">
      <w:r>
        <w:t>Datum, Unterschrift</w:t>
      </w:r>
    </w:p>
    <w:p w14:paraId="3DE60C0E" w14:textId="77777777" w:rsidR="00C82C24" w:rsidRDefault="00C82C24" w:rsidP="00357BA4"/>
    <w:p w14:paraId="3D693886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6FC8" w14:textId="77777777" w:rsidR="001B4183" w:rsidRDefault="001B4183" w:rsidP="005C4990">
      <w:r>
        <w:separator/>
      </w:r>
    </w:p>
  </w:endnote>
  <w:endnote w:type="continuationSeparator" w:id="0">
    <w:p w14:paraId="2418FCFD" w14:textId="77777777" w:rsidR="001B4183" w:rsidRDefault="001B4183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2954" w14:textId="77777777" w:rsidR="001B4183" w:rsidRDefault="001B4183" w:rsidP="005C4990">
      <w:r>
        <w:separator/>
      </w:r>
    </w:p>
  </w:footnote>
  <w:footnote w:type="continuationSeparator" w:id="0">
    <w:p w14:paraId="24305F0B" w14:textId="77777777" w:rsidR="001B4183" w:rsidRDefault="001B4183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8932">
    <w:abstractNumId w:val="6"/>
  </w:num>
  <w:num w:numId="2" w16cid:durableId="1635793322">
    <w:abstractNumId w:val="5"/>
  </w:num>
  <w:num w:numId="3" w16cid:durableId="372729320">
    <w:abstractNumId w:val="30"/>
  </w:num>
  <w:num w:numId="4" w16cid:durableId="1157261392">
    <w:abstractNumId w:val="39"/>
  </w:num>
  <w:num w:numId="5" w16cid:durableId="47152122">
    <w:abstractNumId w:val="34"/>
  </w:num>
  <w:num w:numId="6" w16cid:durableId="1457068482">
    <w:abstractNumId w:val="4"/>
  </w:num>
  <w:num w:numId="7" w16cid:durableId="1526097247">
    <w:abstractNumId w:val="16"/>
  </w:num>
  <w:num w:numId="8" w16cid:durableId="1843155063">
    <w:abstractNumId w:val="0"/>
  </w:num>
  <w:num w:numId="9" w16cid:durableId="98187031">
    <w:abstractNumId w:val="12"/>
  </w:num>
  <w:num w:numId="10" w16cid:durableId="1616252253">
    <w:abstractNumId w:val="19"/>
  </w:num>
  <w:num w:numId="11" w16cid:durableId="8647076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434795">
    <w:abstractNumId w:val="33"/>
  </w:num>
  <w:num w:numId="13" w16cid:durableId="779643021">
    <w:abstractNumId w:val="24"/>
  </w:num>
  <w:num w:numId="14" w16cid:durableId="722219607">
    <w:abstractNumId w:val="23"/>
  </w:num>
  <w:num w:numId="15" w16cid:durableId="1042444175">
    <w:abstractNumId w:val="17"/>
  </w:num>
  <w:num w:numId="16" w16cid:durableId="1380083927">
    <w:abstractNumId w:val="27"/>
  </w:num>
  <w:num w:numId="17" w16cid:durableId="515115808">
    <w:abstractNumId w:val="13"/>
  </w:num>
  <w:num w:numId="18" w16cid:durableId="1376735962">
    <w:abstractNumId w:val="15"/>
  </w:num>
  <w:num w:numId="19" w16cid:durableId="788477682">
    <w:abstractNumId w:val="10"/>
  </w:num>
  <w:num w:numId="20" w16cid:durableId="1555459234">
    <w:abstractNumId w:val="22"/>
  </w:num>
  <w:num w:numId="21" w16cid:durableId="726146545">
    <w:abstractNumId w:val="7"/>
  </w:num>
  <w:num w:numId="22" w16cid:durableId="296298188">
    <w:abstractNumId w:val="2"/>
  </w:num>
  <w:num w:numId="23" w16cid:durableId="661549967">
    <w:abstractNumId w:val="25"/>
  </w:num>
  <w:num w:numId="24" w16cid:durableId="29032538">
    <w:abstractNumId w:val="1"/>
  </w:num>
  <w:num w:numId="25" w16cid:durableId="1720351727">
    <w:abstractNumId w:val="26"/>
  </w:num>
  <w:num w:numId="26" w16cid:durableId="1816752598">
    <w:abstractNumId w:val="32"/>
  </w:num>
  <w:num w:numId="27" w16cid:durableId="1281909906">
    <w:abstractNumId w:val="29"/>
  </w:num>
  <w:num w:numId="28" w16cid:durableId="894580759">
    <w:abstractNumId w:val="8"/>
  </w:num>
  <w:num w:numId="29" w16cid:durableId="465319096">
    <w:abstractNumId w:val="38"/>
  </w:num>
  <w:num w:numId="30" w16cid:durableId="1234269340">
    <w:abstractNumId w:val="14"/>
  </w:num>
  <w:num w:numId="31" w16cid:durableId="357127893">
    <w:abstractNumId w:val="11"/>
  </w:num>
  <w:num w:numId="32" w16cid:durableId="1752048497">
    <w:abstractNumId w:val="31"/>
  </w:num>
  <w:num w:numId="33" w16cid:durableId="1284190287">
    <w:abstractNumId w:val="28"/>
  </w:num>
  <w:num w:numId="34" w16cid:durableId="1542937095">
    <w:abstractNumId w:val="20"/>
  </w:num>
  <w:num w:numId="35" w16cid:durableId="1645618707">
    <w:abstractNumId w:val="21"/>
  </w:num>
  <w:num w:numId="36" w16cid:durableId="598103238">
    <w:abstractNumId w:val="37"/>
  </w:num>
  <w:num w:numId="37" w16cid:durableId="1278297326">
    <w:abstractNumId w:val="36"/>
  </w:num>
  <w:num w:numId="38" w16cid:durableId="1997218650">
    <w:abstractNumId w:val="9"/>
  </w:num>
  <w:num w:numId="39" w16cid:durableId="1110205143">
    <w:abstractNumId w:val="3"/>
  </w:num>
  <w:num w:numId="40" w16cid:durableId="138695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83"/>
    <w:rsid w:val="00002182"/>
    <w:rsid w:val="0000510F"/>
    <w:rsid w:val="00013BA9"/>
    <w:rsid w:val="00014D33"/>
    <w:rsid w:val="00016137"/>
    <w:rsid w:val="00022C69"/>
    <w:rsid w:val="00033502"/>
    <w:rsid w:val="000356C0"/>
    <w:rsid w:val="00037B84"/>
    <w:rsid w:val="00043A74"/>
    <w:rsid w:val="00047CF0"/>
    <w:rsid w:val="00061A4C"/>
    <w:rsid w:val="00066847"/>
    <w:rsid w:val="00081BA8"/>
    <w:rsid w:val="00086ECB"/>
    <w:rsid w:val="0009389C"/>
    <w:rsid w:val="0009438D"/>
    <w:rsid w:val="000A041F"/>
    <w:rsid w:val="000A28B8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45067"/>
    <w:rsid w:val="00154F62"/>
    <w:rsid w:val="001846B9"/>
    <w:rsid w:val="00192660"/>
    <w:rsid w:val="00195FCE"/>
    <w:rsid w:val="001A1968"/>
    <w:rsid w:val="001A3691"/>
    <w:rsid w:val="001A6EE0"/>
    <w:rsid w:val="001B4183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665"/>
    <w:rsid w:val="00360C1D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2A0D"/>
    <w:rsid w:val="003F695E"/>
    <w:rsid w:val="00402AFC"/>
    <w:rsid w:val="00411C7E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4C86"/>
    <w:rsid w:val="00477D6F"/>
    <w:rsid w:val="00484B7D"/>
    <w:rsid w:val="00490776"/>
    <w:rsid w:val="00497825"/>
    <w:rsid w:val="004A02F3"/>
    <w:rsid w:val="004A53D2"/>
    <w:rsid w:val="004A781A"/>
    <w:rsid w:val="004B2696"/>
    <w:rsid w:val="004B38C6"/>
    <w:rsid w:val="004D2613"/>
    <w:rsid w:val="004D43C7"/>
    <w:rsid w:val="004F0791"/>
    <w:rsid w:val="0050297D"/>
    <w:rsid w:val="00506E6A"/>
    <w:rsid w:val="005070A4"/>
    <w:rsid w:val="00507DB0"/>
    <w:rsid w:val="00507E0B"/>
    <w:rsid w:val="00510E5C"/>
    <w:rsid w:val="00535B94"/>
    <w:rsid w:val="00545300"/>
    <w:rsid w:val="00547F18"/>
    <w:rsid w:val="005506A6"/>
    <w:rsid w:val="0055165D"/>
    <w:rsid w:val="00561FE9"/>
    <w:rsid w:val="00574BDF"/>
    <w:rsid w:val="00585143"/>
    <w:rsid w:val="00597081"/>
    <w:rsid w:val="005A7ABD"/>
    <w:rsid w:val="005B5455"/>
    <w:rsid w:val="005C2969"/>
    <w:rsid w:val="005C4990"/>
    <w:rsid w:val="005C54D5"/>
    <w:rsid w:val="005C61EA"/>
    <w:rsid w:val="005E3031"/>
    <w:rsid w:val="005E3B07"/>
    <w:rsid w:val="005E5F79"/>
    <w:rsid w:val="005E6465"/>
    <w:rsid w:val="005E6A32"/>
    <w:rsid w:val="006033F1"/>
    <w:rsid w:val="00603F62"/>
    <w:rsid w:val="006270AD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85073"/>
    <w:rsid w:val="00695440"/>
    <w:rsid w:val="006A2212"/>
    <w:rsid w:val="006B16C8"/>
    <w:rsid w:val="006B2F85"/>
    <w:rsid w:val="006B522F"/>
    <w:rsid w:val="006C6F1C"/>
    <w:rsid w:val="006D1AD3"/>
    <w:rsid w:val="006D591D"/>
    <w:rsid w:val="006E0C23"/>
    <w:rsid w:val="006E1152"/>
    <w:rsid w:val="006E3E97"/>
    <w:rsid w:val="00700A0C"/>
    <w:rsid w:val="00704AE0"/>
    <w:rsid w:val="00711B2F"/>
    <w:rsid w:val="00731C2C"/>
    <w:rsid w:val="007472F8"/>
    <w:rsid w:val="00765441"/>
    <w:rsid w:val="00765A90"/>
    <w:rsid w:val="0077269C"/>
    <w:rsid w:val="007845CE"/>
    <w:rsid w:val="00795AAF"/>
    <w:rsid w:val="007A58C9"/>
    <w:rsid w:val="007B3820"/>
    <w:rsid w:val="007B4348"/>
    <w:rsid w:val="007B4EFD"/>
    <w:rsid w:val="007B5FAC"/>
    <w:rsid w:val="007C62A9"/>
    <w:rsid w:val="007C770B"/>
    <w:rsid w:val="007D6FF4"/>
    <w:rsid w:val="007D7E60"/>
    <w:rsid w:val="007E0659"/>
    <w:rsid w:val="008015A7"/>
    <w:rsid w:val="00806729"/>
    <w:rsid w:val="00806E03"/>
    <w:rsid w:val="0081234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B7B85"/>
    <w:rsid w:val="008C1EB4"/>
    <w:rsid w:val="008C2880"/>
    <w:rsid w:val="008D4830"/>
    <w:rsid w:val="008D572C"/>
    <w:rsid w:val="008D680B"/>
    <w:rsid w:val="008E1269"/>
    <w:rsid w:val="008E1B17"/>
    <w:rsid w:val="008F60F8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69BF"/>
    <w:rsid w:val="0094743A"/>
    <w:rsid w:val="00963006"/>
    <w:rsid w:val="009753C8"/>
    <w:rsid w:val="00975F20"/>
    <w:rsid w:val="00980CE7"/>
    <w:rsid w:val="009860A9"/>
    <w:rsid w:val="00986CBF"/>
    <w:rsid w:val="00992976"/>
    <w:rsid w:val="00993354"/>
    <w:rsid w:val="00995E1B"/>
    <w:rsid w:val="009B1173"/>
    <w:rsid w:val="009B1257"/>
    <w:rsid w:val="009B188B"/>
    <w:rsid w:val="009B2584"/>
    <w:rsid w:val="009C285C"/>
    <w:rsid w:val="009D7F7C"/>
    <w:rsid w:val="009E1A66"/>
    <w:rsid w:val="009E1A68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19FC"/>
    <w:rsid w:val="00AD2CEA"/>
    <w:rsid w:val="00AF0124"/>
    <w:rsid w:val="00AF1BF7"/>
    <w:rsid w:val="00B01367"/>
    <w:rsid w:val="00B036DD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84495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1413D"/>
    <w:rsid w:val="00C25D55"/>
    <w:rsid w:val="00C315B7"/>
    <w:rsid w:val="00C33E22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E09E1"/>
    <w:rsid w:val="00CE2CFE"/>
    <w:rsid w:val="00CF0877"/>
    <w:rsid w:val="00D156B0"/>
    <w:rsid w:val="00D2143A"/>
    <w:rsid w:val="00D31217"/>
    <w:rsid w:val="00D33160"/>
    <w:rsid w:val="00D421DD"/>
    <w:rsid w:val="00D43633"/>
    <w:rsid w:val="00D5423E"/>
    <w:rsid w:val="00D563C8"/>
    <w:rsid w:val="00D572CF"/>
    <w:rsid w:val="00D92536"/>
    <w:rsid w:val="00D95804"/>
    <w:rsid w:val="00DA7BF2"/>
    <w:rsid w:val="00DB49FD"/>
    <w:rsid w:val="00DB4E4A"/>
    <w:rsid w:val="00DB702F"/>
    <w:rsid w:val="00DD58D8"/>
    <w:rsid w:val="00E10794"/>
    <w:rsid w:val="00E26395"/>
    <w:rsid w:val="00E3062B"/>
    <w:rsid w:val="00E3754C"/>
    <w:rsid w:val="00E414EB"/>
    <w:rsid w:val="00E44BC2"/>
    <w:rsid w:val="00E4587B"/>
    <w:rsid w:val="00E47902"/>
    <w:rsid w:val="00E50C09"/>
    <w:rsid w:val="00E57C92"/>
    <w:rsid w:val="00E603A7"/>
    <w:rsid w:val="00E6763B"/>
    <w:rsid w:val="00E8151F"/>
    <w:rsid w:val="00E81721"/>
    <w:rsid w:val="00E85005"/>
    <w:rsid w:val="00EB5E72"/>
    <w:rsid w:val="00EB779E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173F7"/>
    <w:rsid w:val="00F23F52"/>
    <w:rsid w:val="00F424C7"/>
    <w:rsid w:val="00F436FA"/>
    <w:rsid w:val="00F43990"/>
    <w:rsid w:val="00F576A1"/>
    <w:rsid w:val="00F6144C"/>
    <w:rsid w:val="00F62515"/>
    <w:rsid w:val="00F72F37"/>
    <w:rsid w:val="00FA42EF"/>
    <w:rsid w:val="00FB079F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3E807"/>
  <w15:docId w15:val="{E7CF97D6-F5F8-4CD4-B481-28D05704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 w:qFormat="1"/>
    <w:lsdException w:name="FollowedHyperlink" w:semiHidden="1" w:qFormat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5D55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qFormat/>
    <w:rsid w:val="00510E5C"/>
    <w:rPr>
      <w:rFonts w:ascii="Arial" w:hAnsi="Arial"/>
      <w:i/>
      <w:color w:val="004994"/>
      <w:sz w:val="18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043A74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A74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qFormat/>
    <w:rsid w:val="00C25D55"/>
    <w:rPr>
      <w:rFonts w:ascii="Arial" w:hAnsi="Arial"/>
      <w:i/>
      <w:color w:val="800080" w:themeColor="followedHyperlink"/>
      <w:sz w:val="18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pendium.bghw.de/?alias=bghw_symbib_sy0_1_GR1_" TargetMode="External"/><Relationship Id="rId13" Type="http://schemas.openxmlformats.org/officeDocument/2006/relationships/hyperlink" Target="https://kompendium.bghw.de/?alias=bghw_symbib_sy0_2_GR1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kompendium.bghw.de/?alias=bghw_symbib_sy0_2_GR1_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kompendium.bghw.de/?alias=bghw_symbib_sy0_3_GR1_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05A09-86FA-4F8F-9A4F-3DC9A68D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0-2 - Blankovorlage Betriebsanweisung für biologische Einwirkungen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0-2 - Blankovorlage Betriebsanweisung für biologische Einwirkungen</dc:title>
  <dc:creator>Berufsgenossenschaft Handel und Warenlogistik (BGHW)</dc:creator>
  <cp:lastModifiedBy>Richarz, Saskia</cp:lastModifiedBy>
  <cp:revision>9</cp:revision>
  <cp:lastPrinted>2021-12-08T14:52:00Z</cp:lastPrinted>
  <dcterms:created xsi:type="dcterms:W3CDTF">2026-03-26T13:37:00Z</dcterms:created>
  <dcterms:modified xsi:type="dcterms:W3CDTF">2026-03-28T04:09:00Z</dcterms:modified>
</cp:coreProperties>
</file>